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80BA1" w14:textId="630D2691" w:rsidR="007F59A4" w:rsidRPr="001F1E46" w:rsidRDefault="007F59A4" w:rsidP="007F59A4">
      <w:pPr>
        <w:widowControl w:val="0"/>
        <w:tabs>
          <w:tab w:val="right" w:pos="9639"/>
        </w:tabs>
        <w:spacing w:after="0"/>
        <w:rPr>
          <w:rFonts w:ascii="Arial" w:hAnsi="Arial"/>
          <w:b/>
          <w:bCs/>
          <w:sz w:val="24"/>
          <w:szCs w:val="24"/>
        </w:rPr>
      </w:pPr>
      <w:r w:rsidRPr="001F1E46">
        <w:rPr>
          <w:rFonts w:ascii="Arial" w:hAnsi="Arial"/>
          <w:b/>
          <w:bCs/>
          <w:sz w:val="24"/>
          <w:szCs w:val="24"/>
        </w:rPr>
        <w:t>3GPP TSG-RAN WG2 Meeting #1</w:t>
      </w:r>
      <w:r>
        <w:rPr>
          <w:rFonts w:ascii="Arial" w:hAnsi="Arial"/>
          <w:b/>
          <w:bCs/>
          <w:sz w:val="24"/>
          <w:szCs w:val="24"/>
        </w:rPr>
        <w:t>21</w:t>
      </w:r>
      <w:r w:rsidR="00AC2DB8">
        <w:rPr>
          <w:rFonts w:ascii="Arial" w:hAnsi="Arial"/>
          <w:b/>
          <w:bCs/>
          <w:sz w:val="24"/>
          <w:szCs w:val="24"/>
        </w:rPr>
        <w:t>bis</w:t>
      </w:r>
      <w:r>
        <w:rPr>
          <w:rFonts w:ascii="Arial" w:hAnsi="Arial"/>
          <w:b/>
          <w:bCs/>
          <w:sz w:val="24"/>
          <w:szCs w:val="24"/>
        </w:rPr>
        <w:tab/>
        <w:t xml:space="preserve">  </w:t>
      </w:r>
      <w:r w:rsidRPr="001F1E46">
        <w:rPr>
          <w:rFonts w:ascii="Arial" w:hAnsi="Arial"/>
          <w:b/>
          <w:bCs/>
          <w:sz w:val="24"/>
          <w:szCs w:val="24"/>
        </w:rPr>
        <w:t xml:space="preserve">                                   </w:t>
      </w:r>
      <w:r w:rsidRPr="001666DC">
        <w:rPr>
          <w:rFonts w:ascii="Arial" w:hAnsi="Arial"/>
          <w:b/>
          <w:bCs/>
          <w:sz w:val="24"/>
          <w:szCs w:val="24"/>
        </w:rPr>
        <w:t>R2-2</w:t>
      </w:r>
      <w:r>
        <w:rPr>
          <w:rFonts w:ascii="Arial" w:hAnsi="Arial"/>
          <w:b/>
          <w:bCs/>
          <w:sz w:val="24"/>
          <w:szCs w:val="24"/>
        </w:rPr>
        <w:t>3</w:t>
      </w:r>
      <w:r w:rsidR="00B6208C">
        <w:rPr>
          <w:rFonts w:ascii="Arial" w:hAnsi="Arial"/>
          <w:b/>
          <w:bCs/>
          <w:sz w:val="24"/>
          <w:szCs w:val="24"/>
        </w:rPr>
        <w:t>0</w:t>
      </w:r>
      <w:r w:rsidR="00A10870">
        <w:rPr>
          <w:rFonts w:ascii="Arial" w:hAnsi="Arial"/>
          <w:b/>
          <w:bCs/>
          <w:sz w:val="24"/>
          <w:szCs w:val="24"/>
        </w:rPr>
        <w:t>2751</w:t>
      </w:r>
    </w:p>
    <w:p w14:paraId="7A02E82B" w14:textId="28638C4D" w:rsidR="007F59A4" w:rsidRDefault="00AC2DB8" w:rsidP="007F59A4">
      <w:pPr>
        <w:widowControl w:val="0"/>
        <w:tabs>
          <w:tab w:val="right" w:pos="9639"/>
        </w:tabs>
        <w:spacing w:after="0"/>
        <w:rPr>
          <w:rFonts w:ascii="Arial" w:hAnsi="Arial"/>
          <w:b/>
          <w:bCs/>
          <w:sz w:val="24"/>
          <w:szCs w:val="24"/>
          <w:lang w:eastAsia="zh-CN"/>
        </w:rPr>
      </w:pPr>
      <w:r>
        <w:rPr>
          <w:rFonts w:ascii="Arial" w:hAnsi="Arial"/>
          <w:b/>
          <w:bCs/>
          <w:sz w:val="24"/>
          <w:szCs w:val="24"/>
        </w:rPr>
        <w:t>Online</w:t>
      </w:r>
      <w:r w:rsidR="007F59A4" w:rsidRPr="00A85668">
        <w:rPr>
          <w:rFonts w:ascii="Arial" w:hAnsi="Arial"/>
          <w:b/>
          <w:bCs/>
          <w:sz w:val="24"/>
          <w:szCs w:val="24"/>
        </w:rPr>
        <w:t xml:space="preserve">, </w:t>
      </w:r>
      <w:r>
        <w:rPr>
          <w:rFonts w:ascii="Arial" w:hAnsi="Arial"/>
          <w:b/>
          <w:bCs/>
          <w:sz w:val="24"/>
          <w:szCs w:val="24"/>
        </w:rPr>
        <w:t>Apr</w:t>
      </w:r>
      <w:r w:rsidR="007F59A4" w:rsidRPr="00A85668">
        <w:rPr>
          <w:rFonts w:ascii="Arial" w:hAnsi="Arial"/>
          <w:b/>
          <w:bCs/>
          <w:sz w:val="24"/>
          <w:szCs w:val="24"/>
        </w:rPr>
        <w:t xml:space="preserve"> </w:t>
      </w:r>
      <w:r>
        <w:rPr>
          <w:rFonts w:ascii="Arial" w:hAnsi="Arial"/>
          <w:b/>
          <w:bCs/>
          <w:sz w:val="24"/>
          <w:szCs w:val="24"/>
        </w:rPr>
        <w:t>1</w:t>
      </w:r>
      <w:r w:rsidR="007F59A4" w:rsidRPr="00A85668">
        <w:rPr>
          <w:rFonts w:ascii="Arial" w:hAnsi="Arial"/>
          <w:b/>
          <w:bCs/>
          <w:sz w:val="24"/>
          <w:szCs w:val="24"/>
        </w:rPr>
        <w:t xml:space="preserve">7 – </w:t>
      </w:r>
      <w:r>
        <w:rPr>
          <w:rFonts w:ascii="Arial" w:hAnsi="Arial"/>
          <w:b/>
          <w:bCs/>
          <w:sz w:val="24"/>
          <w:szCs w:val="24"/>
        </w:rPr>
        <w:t>Ap</w:t>
      </w:r>
      <w:r w:rsidR="007F59A4" w:rsidRPr="00A85668">
        <w:rPr>
          <w:rFonts w:ascii="Arial" w:hAnsi="Arial"/>
          <w:b/>
          <w:bCs/>
          <w:sz w:val="24"/>
          <w:szCs w:val="24"/>
        </w:rPr>
        <w:t xml:space="preserve">r </w:t>
      </w:r>
      <w:r>
        <w:rPr>
          <w:rFonts w:ascii="Arial" w:hAnsi="Arial"/>
          <w:b/>
          <w:bCs/>
          <w:sz w:val="24"/>
          <w:szCs w:val="24"/>
        </w:rPr>
        <w:t>26</w:t>
      </w:r>
      <w:r w:rsidR="007F59A4" w:rsidRPr="00A85668">
        <w:rPr>
          <w:rFonts w:ascii="Arial" w:hAnsi="Arial"/>
          <w:b/>
          <w:bCs/>
          <w:sz w:val="24"/>
          <w:szCs w:val="24"/>
        </w:rPr>
        <w:t>, 2023</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2846A634" w:rsidR="00783B93" w:rsidRPr="006D3016" w:rsidRDefault="00783B93">
      <w:pPr>
        <w:tabs>
          <w:tab w:val="left" w:pos="1985"/>
        </w:tabs>
        <w:spacing w:after="120"/>
        <w:rPr>
          <w:rFonts w:ascii="Arial" w:eastAsia="MS Mincho" w:hAnsi="Arial" w:cs="Arial"/>
          <w:b/>
          <w:bCs/>
          <w:sz w:val="24"/>
          <w:szCs w:val="24"/>
        </w:rPr>
      </w:pPr>
      <w:r w:rsidRPr="58EC049B">
        <w:rPr>
          <w:rFonts w:ascii="Arial" w:eastAsia="MS Mincho" w:hAnsi="Arial" w:cs="Arial"/>
          <w:b/>
          <w:bCs/>
          <w:sz w:val="24"/>
          <w:szCs w:val="24"/>
        </w:rPr>
        <w:t>Agenda item:</w:t>
      </w:r>
      <w:r w:rsidR="7FF23F6A" w:rsidRPr="58EC049B">
        <w:rPr>
          <w:rFonts w:ascii="Arial" w:eastAsia="MS Mincho" w:hAnsi="Arial" w:cs="Arial"/>
          <w:b/>
          <w:bCs/>
          <w:sz w:val="24"/>
          <w:szCs w:val="24"/>
        </w:rPr>
        <w:t xml:space="preserve"> </w:t>
      </w:r>
      <w:r>
        <w:tab/>
      </w:r>
      <w:r w:rsidR="00A63887">
        <w:rPr>
          <w:rFonts w:ascii="Arial" w:eastAsia="MS Mincho" w:hAnsi="Arial" w:cs="Arial"/>
          <w:b/>
          <w:bCs/>
          <w:sz w:val="24"/>
          <w:szCs w:val="24"/>
        </w:rPr>
        <w:t>7</w:t>
      </w:r>
      <w:r w:rsidR="00BD21A1">
        <w:rPr>
          <w:rFonts w:ascii="Arial" w:eastAsia="MS Mincho" w:hAnsi="Arial" w:cs="Arial"/>
          <w:b/>
          <w:bCs/>
          <w:sz w:val="24"/>
          <w:szCs w:val="24"/>
        </w:rPr>
        <w:t>.</w:t>
      </w:r>
      <w:r w:rsidR="007D6D3B">
        <w:rPr>
          <w:rFonts w:ascii="Arial" w:eastAsia="MS Mincho" w:hAnsi="Arial" w:cs="Arial"/>
          <w:b/>
          <w:bCs/>
          <w:sz w:val="24"/>
          <w:szCs w:val="24"/>
        </w:rPr>
        <w:t>4</w:t>
      </w:r>
      <w:r w:rsidR="00BD21A1">
        <w:rPr>
          <w:rFonts w:ascii="Arial" w:eastAsia="MS Mincho" w:hAnsi="Arial" w:cs="Arial"/>
          <w:b/>
          <w:bCs/>
          <w:sz w:val="24"/>
          <w:szCs w:val="24"/>
        </w:rPr>
        <w:t>.</w:t>
      </w:r>
      <w:r w:rsidR="004D2705">
        <w:rPr>
          <w:rFonts w:ascii="Arial" w:eastAsia="MS Mincho" w:hAnsi="Arial" w:cs="Arial"/>
          <w:b/>
          <w:bCs/>
          <w:sz w:val="24"/>
          <w:szCs w:val="24"/>
        </w:rPr>
        <w:t>4</w:t>
      </w:r>
    </w:p>
    <w:p w14:paraId="523E2679" w14:textId="0FF45B53"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7F30291E" w:rsidR="00783B93" w:rsidRPr="006D3016" w:rsidRDefault="00783B93" w:rsidP="777A394D">
      <w:pPr>
        <w:ind w:left="1985" w:hanging="1985"/>
        <w:rPr>
          <w:rFonts w:ascii="Arial" w:eastAsia="Times New Roman" w:hAnsi="Arial" w:cs="Arial"/>
          <w:b/>
          <w:bCs/>
          <w:sz w:val="24"/>
          <w:szCs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rsidRPr="006D3016">
        <w:rPr>
          <w:rFonts w:ascii="Arial" w:eastAsia="Times New Roman" w:hAnsi="Arial" w:cs="Arial"/>
          <w:b/>
          <w:bCs/>
          <w:sz w:val="24"/>
        </w:rPr>
        <w:tab/>
      </w:r>
      <w:r w:rsidR="004D2705" w:rsidRPr="004D2705">
        <w:rPr>
          <w:rFonts w:ascii="Arial" w:eastAsia="Times New Roman" w:hAnsi="Arial" w:cs="Arial"/>
          <w:b/>
          <w:bCs/>
          <w:sz w:val="24"/>
        </w:rPr>
        <w:t>Discussion on CHO including candidate SCGs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E94894" w14:textId="4093E9BD" w:rsidR="00783B93" w:rsidRDefault="00783B93" w:rsidP="00826C92">
      <w:pPr>
        <w:pStyle w:val="Heading1"/>
        <w:numPr>
          <w:ilvl w:val="0"/>
          <w:numId w:val="1"/>
        </w:numPr>
        <w:pBdr>
          <w:top w:val="single" w:sz="12" w:space="2" w:color="auto"/>
        </w:pBdr>
      </w:pPr>
      <w:r>
        <w:t xml:space="preserve">Introduction </w:t>
      </w:r>
    </w:p>
    <w:p w14:paraId="2B01AEBD" w14:textId="679A5B58" w:rsidR="00653A6B" w:rsidRDefault="00C360F3" w:rsidP="00653A6B">
      <w:pPr>
        <w:rPr>
          <w:sz w:val="22"/>
          <w:szCs w:val="22"/>
          <w:lang w:val="en-US"/>
        </w:rPr>
      </w:pPr>
      <w:r>
        <w:rPr>
          <w:sz w:val="22"/>
          <w:szCs w:val="22"/>
        </w:rPr>
        <w:t>For Rel-1</w:t>
      </w:r>
      <w:r w:rsidR="007D6D3B">
        <w:rPr>
          <w:sz w:val="22"/>
          <w:szCs w:val="22"/>
        </w:rPr>
        <w:t>8 f</w:t>
      </w:r>
      <w:r w:rsidR="007D6D3B" w:rsidRPr="007D6D3B">
        <w:rPr>
          <w:sz w:val="22"/>
          <w:szCs w:val="22"/>
        </w:rPr>
        <w:t>urther NR mobility enhancements</w:t>
      </w:r>
      <w:r w:rsidR="004D2705">
        <w:rPr>
          <w:sz w:val="22"/>
          <w:szCs w:val="22"/>
        </w:rPr>
        <w:t xml:space="preserve"> [1]</w:t>
      </w:r>
      <w:r w:rsidR="0021130F">
        <w:rPr>
          <w:sz w:val="22"/>
          <w:szCs w:val="22"/>
        </w:rPr>
        <w:t xml:space="preserve">, </w:t>
      </w:r>
      <w:r w:rsidR="004D2705">
        <w:rPr>
          <w:sz w:val="22"/>
          <w:szCs w:val="22"/>
        </w:rPr>
        <w:t>one objective is to support CHO including target MCG and candidate SCGs for CPC/CPA in NR-DC</w:t>
      </w:r>
      <w:r w:rsidR="007D6D3B">
        <w:rPr>
          <w:sz w:val="22"/>
          <w:szCs w:val="22"/>
        </w:rPr>
        <w:t xml:space="preserve"> as described below</w:t>
      </w:r>
      <w:r>
        <w:rPr>
          <w:sz w:val="22"/>
          <w:szCs w:val="22"/>
          <w:lang w:val="en-US"/>
        </w:rPr>
        <w:t>.</w:t>
      </w:r>
    </w:p>
    <w:tbl>
      <w:tblPr>
        <w:tblStyle w:val="TableGrid"/>
        <w:tblW w:w="0" w:type="auto"/>
        <w:tblLook w:val="04A0" w:firstRow="1" w:lastRow="0" w:firstColumn="1" w:lastColumn="0" w:noHBand="0" w:noVBand="1"/>
      </w:tblPr>
      <w:tblGrid>
        <w:gridCol w:w="9016"/>
      </w:tblGrid>
      <w:tr w:rsidR="007D6D3B" w14:paraId="79B63130" w14:textId="77777777" w:rsidTr="007D6D3B">
        <w:tc>
          <w:tcPr>
            <w:tcW w:w="9016" w:type="dxa"/>
          </w:tcPr>
          <w:p w14:paraId="7CFC3903" w14:textId="77777777" w:rsidR="004D2705" w:rsidRPr="004D2705" w:rsidRDefault="004D2705" w:rsidP="004D2705">
            <w:pPr>
              <w:numPr>
                <w:ilvl w:val="0"/>
                <w:numId w:val="9"/>
              </w:numPr>
              <w:overflowPunct w:val="0"/>
              <w:autoSpaceDE w:val="0"/>
              <w:autoSpaceDN w:val="0"/>
              <w:adjustRightInd w:val="0"/>
              <w:spacing w:after="0"/>
              <w:jc w:val="both"/>
              <w:textAlignment w:val="baseline"/>
              <w:rPr>
                <w:rFonts w:eastAsia="PMingLiU"/>
                <w:bCs/>
                <w:lang w:val="en-US" w:eastAsia="en-GB"/>
              </w:rPr>
            </w:pPr>
            <w:r w:rsidRPr="004D2705">
              <w:rPr>
                <w:rFonts w:eastAsia="PMingLiU"/>
                <w:bCs/>
                <w:lang w:val="en-US" w:eastAsia="en-GB"/>
              </w:rPr>
              <w:t>To specify CHO including target MCG and candidate SCGs for CPC/CPA in NR-DC [RAN3, RAN2]</w:t>
            </w:r>
          </w:p>
          <w:p w14:paraId="6ADB4A16" w14:textId="3EFCD081" w:rsidR="007D6D3B" w:rsidRPr="004D2705" w:rsidRDefault="004D2705" w:rsidP="007D6D3B">
            <w:pPr>
              <w:numPr>
                <w:ilvl w:val="0"/>
                <w:numId w:val="8"/>
              </w:numPr>
              <w:overflowPunct w:val="0"/>
              <w:autoSpaceDE w:val="0"/>
              <w:autoSpaceDN w:val="0"/>
              <w:adjustRightInd w:val="0"/>
              <w:spacing w:after="0"/>
              <w:jc w:val="both"/>
              <w:textAlignment w:val="baseline"/>
              <w:rPr>
                <w:rFonts w:eastAsia="PMingLiU"/>
                <w:bCs/>
                <w:lang w:val="en-US" w:eastAsia="en-GB"/>
              </w:rPr>
            </w:pPr>
            <w:bookmarkStart w:id="0" w:name="_Hlk110434277"/>
            <w:r w:rsidRPr="004D2705">
              <w:rPr>
                <w:rFonts w:eastAsia="PMingLiU"/>
                <w:bCs/>
                <w:lang w:val="en-US" w:eastAsia="en-GB"/>
              </w:rPr>
              <w:t xml:space="preserve">CHO including target MCG and target SCG </w:t>
            </w:r>
            <w:bookmarkEnd w:id="0"/>
            <w:r w:rsidRPr="004D2705">
              <w:rPr>
                <w:rFonts w:eastAsia="PMingLiU"/>
                <w:bCs/>
                <w:lang w:val="en-US" w:eastAsia="en-GB"/>
              </w:rPr>
              <w:t>is used as the baseline</w:t>
            </w:r>
          </w:p>
        </w:tc>
      </w:tr>
    </w:tbl>
    <w:p w14:paraId="6AA67355" w14:textId="65826E40" w:rsidR="004D2705" w:rsidRDefault="004D2705" w:rsidP="00653A6B"/>
    <w:p w14:paraId="57CC8A3B" w14:textId="7648EBC1" w:rsidR="00D6187D" w:rsidRPr="00D6187D" w:rsidRDefault="00D6187D" w:rsidP="00653A6B">
      <w:pPr>
        <w:rPr>
          <w:sz w:val="22"/>
          <w:szCs w:val="22"/>
        </w:rPr>
      </w:pPr>
      <w:r w:rsidRPr="00D6187D">
        <w:rPr>
          <w:sz w:val="22"/>
          <w:szCs w:val="22"/>
        </w:rPr>
        <w:t>And the following agreements were achieved in RAN2</w:t>
      </w:r>
      <w:r>
        <w:rPr>
          <w:sz w:val="22"/>
          <w:szCs w:val="22"/>
        </w:rPr>
        <w:t>#</w:t>
      </w:r>
      <w:r w:rsidRPr="00D6187D">
        <w:rPr>
          <w:sz w:val="22"/>
          <w:szCs w:val="22"/>
        </w:rPr>
        <w:t>119:</w:t>
      </w:r>
    </w:p>
    <w:tbl>
      <w:tblPr>
        <w:tblStyle w:val="TableGrid"/>
        <w:tblW w:w="0" w:type="auto"/>
        <w:tblLook w:val="04A0" w:firstRow="1" w:lastRow="0" w:firstColumn="1" w:lastColumn="0" w:noHBand="0" w:noVBand="1"/>
      </w:tblPr>
      <w:tblGrid>
        <w:gridCol w:w="9016"/>
      </w:tblGrid>
      <w:tr w:rsidR="00D6187D" w14:paraId="586A5D97" w14:textId="77777777" w:rsidTr="00D6187D">
        <w:tc>
          <w:tcPr>
            <w:tcW w:w="9016" w:type="dxa"/>
          </w:tcPr>
          <w:p w14:paraId="03953CCE" w14:textId="77777777" w:rsidR="00D6187D" w:rsidRDefault="00D6187D" w:rsidP="00D6187D">
            <w:pPr>
              <w:pStyle w:val="Agreement"/>
              <w:tabs>
                <w:tab w:val="clear" w:pos="1619"/>
                <w:tab w:val="num" w:pos="1259"/>
              </w:tabs>
              <w:ind w:left="425"/>
            </w:pPr>
            <w:r>
              <w:t>Observation: Current RAN2 Stage-3 specifications can support CHO including target MCG and target SCG in Rel-17.</w:t>
            </w:r>
          </w:p>
          <w:p w14:paraId="0F4A613D" w14:textId="77777777" w:rsidR="00D6187D" w:rsidRDefault="00D6187D" w:rsidP="00D6187D">
            <w:pPr>
              <w:pStyle w:val="Agreement"/>
              <w:tabs>
                <w:tab w:val="clear" w:pos="1619"/>
                <w:tab w:val="num" w:pos="1259"/>
              </w:tabs>
              <w:ind w:left="425"/>
            </w:pPr>
            <w:r>
              <w:t>CHO configuration referring to or including CPC/CPA configuration (intended to be applicable together) can be supported.</w:t>
            </w:r>
          </w:p>
          <w:p w14:paraId="56C4D69E" w14:textId="7EC15347" w:rsidR="00D6187D" w:rsidRDefault="00D6187D" w:rsidP="00D6187D">
            <w:pPr>
              <w:pStyle w:val="Agreement"/>
              <w:tabs>
                <w:tab w:val="clear" w:pos="1619"/>
                <w:tab w:val="num" w:pos="1259"/>
              </w:tabs>
              <w:ind w:left="425"/>
            </w:pPr>
            <w:r>
              <w:t>FFS: When triggering CHO, UE perform CPC/CPA configuration to start CPC/CPA evaluation, FFS if CHO evaluation and CPC/CPA evaluation is concurrent or sequential.</w:t>
            </w:r>
          </w:p>
        </w:tc>
      </w:tr>
    </w:tbl>
    <w:p w14:paraId="7849A1FB" w14:textId="14F0F078" w:rsidR="00D6187D" w:rsidRDefault="00D6187D" w:rsidP="00653A6B"/>
    <w:p w14:paraId="7A45E7AF" w14:textId="54D8937F" w:rsidR="007F59A4" w:rsidRPr="00CB25AA" w:rsidRDefault="007F59A4" w:rsidP="00653A6B">
      <w:pPr>
        <w:rPr>
          <w:sz w:val="22"/>
          <w:szCs w:val="22"/>
        </w:rPr>
      </w:pPr>
      <w:r w:rsidRPr="00CB25AA">
        <w:rPr>
          <w:sz w:val="22"/>
          <w:szCs w:val="22"/>
        </w:rPr>
        <w:t>And in RAN2#120, further agreement was made in the aspect of execution order:</w:t>
      </w:r>
    </w:p>
    <w:tbl>
      <w:tblPr>
        <w:tblStyle w:val="TableGrid"/>
        <w:tblW w:w="0" w:type="auto"/>
        <w:tblLook w:val="04A0" w:firstRow="1" w:lastRow="0" w:firstColumn="1" w:lastColumn="0" w:noHBand="0" w:noVBand="1"/>
      </w:tblPr>
      <w:tblGrid>
        <w:gridCol w:w="9016"/>
      </w:tblGrid>
      <w:tr w:rsidR="007F59A4" w14:paraId="53F7F86D" w14:textId="77777777" w:rsidTr="007F59A4">
        <w:tc>
          <w:tcPr>
            <w:tcW w:w="9016" w:type="dxa"/>
          </w:tcPr>
          <w:p w14:paraId="0570D069" w14:textId="43C68C61" w:rsidR="007F59A4" w:rsidRDefault="007F59A4" w:rsidP="00451981">
            <w:pPr>
              <w:pStyle w:val="Agreement"/>
              <w:tabs>
                <w:tab w:val="clear" w:pos="1619"/>
              </w:tabs>
              <w:ind w:left="429"/>
            </w:pPr>
            <w:r>
              <w:t xml:space="preserve">Execution order: </w:t>
            </w:r>
            <w:bookmarkStart w:id="1" w:name="_Hlk126071831"/>
            <w:r>
              <w:t xml:space="preserve">the UE doesn’t execute CPC/CPA unless CHO condition is fulfilled </w:t>
            </w:r>
            <w:bookmarkEnd w:id="1"/>
            <w:r>
              <w:t>(regardless parallel or sequential evaluation)</w:t>
            </w:r>
          </w:p>
        </w:tc>
      </w:tr>
    </w:tbl>
    <w:p w14:paraId="139F556B" w14:textId="0E0A34F3" w:rsidR="007F59A4" w:rsidRDefault="007F59A4" w:rsidP="00653A6B"/>
    <w:p w14:paraId="389E12FD" w14:textId="1AAE8D98" w:rsidR="00AC2DB8" w:rsidRPr="00702E8A" w:rsidRDefault="00AC2DB8" w:rsidP="00653A6B">
      <w:pPr>
        <w:rPr>
          <w:sz w:val="22"/>
          <w:szCs w:val="22"/>
        </w:rPr>
      </w:pPr>
      <w:r w:rsidRPr="00702E8A">
        <w:rPr>
          <w:sz w:val="22"/>
          <w:szCs w:val="22"/>
        </w:rPr>
        <w:t>In RAN2#121, regarding parallel evaluation, the following agreements were achieved:</w:t>
      </w:r>
    </w:p>
    <w:tbl>
      <w:tblPr>
        <w:tblStyle w:val="TableGrid"/>
        <w:tblW w:w="0" w:type="auto"/>
        <w:tblLook w:val="04A0" w:firstRow="1" w:lastRow="0" w:firstColumn="1" w:lastColumn="0" w:noHBand="0" w:noVBand="1"/>
      </w:tblPr>
      <w:tblGrid>
        <w:gridCol w:w="9016"/>
      </w:tblGrid>
      <w:tr w:rsidR="00AC2DB8" w14:paraId="2C9525DE" w14:textId="77777777" w:rsidTr="00AC2DB8">
        <w:tc>
          <w:tcPr>
            <w:tcW w:w="9016" w:type="dxa"/>
          </w:tcPr>
          <w:p w14:paraId="2B9EF69C" w14:textId="77777777" w:rsidR="00AC2DB8" w:rsidRDefault="00AC2DB8" w:rsidP="00AC2DB8">
            <w:pPr>
              <w:pStyle w:val="Agreement"/>
              <w:tabs>
                <w:tab w:val="clear" w:pos="1619"/>
                <w:tab w:val="num" w:pos="1259"/>
              </w:tabs>
              <w:ind w:left="420"/>
            </w:pPr>
            <w:r w:rsidRPr="00962041">
              <w:t>RAN2 agrees to</w:t>
            </w:r>
            <w:r>
              <w:t xml:space="preserve"> support</w:t>
            </w:r>
            <w:r w:rsidRPr="00962041">
              <w:t xml:space="preserve"> the simultaneous </w:t>
            </w:r>
            <w:r>
              <w:t>evaluation of CHO and CPC in</w:t>
            </w:r>
            <w:r w:rsidRPr="00962041">
              <w:t xml:space="preserve"> Rel</w:t>
            </w:r>
            <w:r>
              <w:t>-</w:t>
            </w:r>
            <w:r w:rsidRPr="00962041">
              <w:t>18</w:t>
            </w:r>
          </w:p>
          <w:p w14:paraId="0C67882E" w14:textId="77777777" w:rsidR="00AC2DB8" w:rsidRPr="000174CB" w:rsidRDefault="00AC2DB8" w:rsidP="00AC2DB8">
            <w:pPr>
              <w:pStyle w:val="Doc-text2"/>
              <w:tabs>
                <w:tab w:val="clear" w:pos="1622"/>
                <w:tab w:val="num" w:pos="1259"/>
              </w:tabs>
              <w:ind w:left="420"/>
            </w:pPr>
          </w:p>
          <w:p w14:paraId="3E03A31B" w14:textId="22E3E05D" w:rsidR="00AC2DB8" w:rsidRPr="00AC2DB8" w:rsidRDefault="00AC2DB8" w:rsidP="00AC2DB8">
            <w:pPr>
              <w:pStyle w:val="Agreement"/>
              <w:tabs>
                <w:tab w:val="clear" w:pos="1619"/>
                <w:tab w:val="num" w:pos="1259"/>
              </w:tabs>
              <w:ind w:left="420"/>
              <w:rPr>
                <w:lang w:val="en-US"/>
              </w:rPr>
            </w:pPr>
            <w:r>
              <w:rPr>
                <w:lang w:val="en-US"/>
              </w:rPr>
              <w:t xml:space="preserve">The UE should not need </w:t>
            </w:r>
            <w:bookmarkStart w:id="2" w:name="_Hlk129711724"/>
            <w:r>
              <w:rPr>
                <w:lang w:val="en-US"/>
              </w:rPr>
              <w:t>to unpack any of the nested conditionalconfiguration containers</w:t>
            </w:r>
            <w:bookmarkEnd w:id="2"/>
            <w:r>
              <w:rPr>
                <w:lang w:val="en-US"/>
              </w:rPr>
              <w:t xml:space="preserve"> in order to measure, acc to agreement above</w:t>
            </w:r>
          </w:p>
        </w:tc>
      </w:tr>
    </w:tbl>
    <w:p w14:paraId="62C07479" w14:textId="464173EC" w:rsidR="007D6D3B" w:rsidRPr="00AC5C1D" w:rsidRDefault="007D6D3B" w:rsidP="00F8339D">
      <w:pPr>
        <w:spacing w:before="120"/>
        <w:rPr>
          <w:sz w:val="22"/>
          <w:szCs w:val="22"/>
        </w:rPr>
      </w:pPr>
      <w:r w:rsidRPr="00AC5C1D">
        <w:rPr>
          <w:sz w:val="22"/>
          <w:szCs w:val="22"/>
        </w:rPr>
        <w:t xml:space="preserve">In this paper, we </w:t>
      </w:r>
      <w:r w:rsidR="00D6187D">
        <w:rPr>
          <w:sz w:val="22"/>
          <w:szCs w:val="22"/>
        </w:rPr>
        <w:t xml:space="preserve">further discuss </w:t>
      </w:r>
      <w:r w:rsidR="00ED2157">
        <w:rPr>
          <w:sz w:val="22"/>
          <w:szCs w:val="22"/>
        </w:rPr>
        <w:t>the</w:t>
      </w:r>
      <w:r w:rsidR="00D6187D">
        <w:rPr>
          <w:sz w:val="22"/>
          <w:szCs w:val="22"/>
        </w:rPr>
        <w:t xml:space="preserve"> details of</w:t>
      </w:r>
      <w:r w:rsidR="00D6187D" w:rsidRPr="00D6187D">
        <w:t xml:space="preserve"> </w:t>
      </w:r>
      <w:r w:rsidR="00D6187D" w:rsidRPr="00D6187D">
        <w:rPr>
          <w:sz w:val="22"/>
          <w:szCs w:val="22"/>
        </w:rPr>
        <w:t>CHO including target MCG and candidate SCGs for CPC/CPA</w:t>
      </w:r>
      <w:r w:rsidRPr="00AC5C1D">
        <w:rPr>
          <w:sz w:val="22"/>
          <w:szCs w:val="22"/>
        </w:rPr>
        <w:t>.</w:t>
      </w:r>
    </w:p>
    <w:p w14:paraId="75037347" w14:textId="4B76AB9F" w:rsidR="00637A18" w:rsidRDefault="00783B93" w:rsidP="00826C92">
      <w:pPr>
        <w:pStyle w:val="Heading1"/>
        <w:numPr>
          <w:ilvl w:val="0"/>
          <w:numId w:val="1"/>
        </w:numPr>
        <w:pBdr>
          <w:top w:val="single" w:sz="12" w:space="2" w:color="auto"/>
        </w:pBdr>
      </w:pPr>
      <w:r>
        <w:t xml:space="preserve">Discussion </w:t>
      </w:r>
    </w:p>
    <w:p w14:paraId="09D596A7" w14:textId="29313310" w:rsidR="005D1856" w:rsidRPr="00451981" w:rsidRDefault="005D1856" w:rsidP="00451981">
      <w:pPr>
        <w:pStyle w:val="Heading2"/>
        <w:spacing w:after="120"/>
        <w:rPr>
          <w:rFonts w:ascii="Arial" w:hAnsi="Arial" w:cs="Arial"/>
          <w:color w:val="auto"/>
          <w:sz w:val="32"/>
          <w:szCs w:val="32"/>
        </w:rPr>
      </w:pPr>
      <w:r w:rsidRPr="00451981">
        <w:rPr>
          <w:rFonts w:ascii="Arial" w:hAnsi="Arial" w:cs="Arial"/>
          <w:color w:val="auto"/>
          <w:sz w:val="32"/>
          <w:szCs w:val="32"/>
        </w:rPr>
        <w:t xml:space="preserve">2.1 </w:t>
      </w:r>
      <w:r w:rsidR="006D3F66">
        <w:rPr>
          <w:rFonts w:ascii="Arial" w:hAnsi="Arial" w:cs="Arial"/>
          <w:color w:val="auto"/>
          <w:sz w:val="32"/>
          <w:szCs w:val="32"/>
        </w:rPr>
        <w:t>S</w:t>
      </w:r>
      <w:r w:rsidR="006D3F66" w:rsidRPr="006D3F66">
        <w:rPr>
          <w:rFonts w:ascii="Arial" w:hAnsi="Arial" w:cs="Arial"/>
          <w:color w:val="auto"/>
          <w:sz w:val="32"/>
          <w:szCs w:val="32"/>
        </w:rPr>
        <w:t>imultaneous evaluation of CHO and CPC</w:t>
      </w:r>
    </w:p>
    <w:p w14:paraId="604CAF05" w14:textId="22DCA94F" w:rsidR="006D3F66" w:rsidRDefault="006D3F66" w:rsidP="00AC5C1D">
      <w:pPr>
        <w:jc w:val="both"/>
        <w:rPr>
          <w:sz w:val="22"/>
          <w:szCs w:val="22"/>
        </w:rPr>
      </w:pPr>
      <w:r>
        <w:rPr>
          <w:sz w:val="22"/>
          <w:szCs w:val="22"/>
        </w:rPr>
        <w:t>For a UE in dual-connectivity mode, it</w:t>
      </w:r>
      <w:r w:rsidRPr="00C44519">
        <w:rPr>
          <w:sz w:val="22"/>
          <w:szCs w:val="22"/>
        </w:rPr>
        <w:t xml:space="preserve"> perform</w:t>
      </w:r>
      <w:r>
        <w:rPr>
          <w:sz w:val="22"/>
          <w:szCs w:val="22"/>
        </w:rPr>
        <w:t>s</w:t>
      </w:r>
      <w:r w:rsidRPr="00C44519">
        <w:rPr>
          <w:sz w:val="22"/>
          <w:szCs w:val="22"/>
        </w:rPr>
        <w:t xml:space="preserve"> measurements of candidate PCells and candidate PSCells simultaneously</w:t>
      </w:r>
      <w:r>
        <w:rPr>
          <w:sz w:val="22"/>
          <w:szCs w:val="22"/>
        </w:rPr>
        <w:t xml:space="preserve">, </w:t>
      </w:r>
      <w:r w:rsidRPr="0065246C">
        <w:rPr>
          <w:sz w:val="22"/>
          <w:szCs w:val="22"/>
        </w:rPr>
        <w:t>and check</w:t>
      </w:r>
      <w:r w:rsidR="00197A6A">
        <w:rPr>
          <w:sz w:val="22"/>
          <w:szCs w:val="22"/>
        </w:rPr>
        <w:t>s</w:t>
      </w:r>
      <w:r w:rsidRPr="0065246C">
        <w:rPr>
          <w:sz w:val="22"/>
          <w:szCs w:val="22"/>
        </w:rPr>
        <w:t xml:space="preserve"> </w:t>
      </w:r>
      <w:r>
        <w:rPr>
          <w:sz w:val="22"/>
          <w:szCs w:val="22"/>
        </w:rPr>
        <w:t xml:space="preserve">if </w:t>
      </w:r>
      <w:r w:rsidRPr="0065246C">
        <w:rPr>
          <w:sz w:val="22"/>
          <w:szCs w:val="22"/>
        </w:rPr>
        <w:t>the execution condition</w:t>
      </w:r>
      <w:r>
        <w:rPr>
          <w:sz w:val="22"/>
          <w:szCs w:val="22"/>
        </w:rPr>
        <w:t>s</w:t>
      </w:r>
      <w:r w:rsidRPr="0065246C">
        <w:rPr>
          <w:sz w:val="22"/>
          <w:szCs w:val="22"/>
        </w:rPr>
        <w:t xml:space="preserve"> for both </w:t>
      </w:r>
      <w:r>
        <w:rPr>
          <w:sz w:val="22"/>
          <w:szCs w:val="22"/>
        </w:rPr>
        <w:t>CHO and CPC are met</w:t>
      </w:r>
      <w:r w:rsidRPr="00C44519">
        <w:rPr>
          <w:sz w:val="22"/>
          <w:szCs w:val="22"/>
        </w:rPr>
        <w:t>.</w:t>
      </w:r>
      <w:r>
        <w:rPr>
          <w:sz w:val="22"/>
          <w:szCs w:val="22"/>
        </w:rPr>
        <w:t xml:space="preserve"> The intention is to enable the PCell change and </w:t>
      </w:r>
      <w:r w:rsidR="00283922">
        <w:rPr>
          <w:sz w:val="22"/>
          <w:szCs w:val="22"/>
        </w:rPr>
        <w:t xml:space="preserve">PSCell </w:t>
      </w:r>
      <w:r>
        <w:rPr>
          <w:sz w:val="22"/>
          <w:szCs w:val="22"/>
        </w:rPr>
        <w:t xml:space="preserve">change simultaneously. Since </w:t>
      </w:r>
      <w:r w:rsidRPr="006D3F66">
        <w:rPr>
          <w:sz w:val="22"/>
          <w:szCs w:val="22"/>
        </w:rPr>
        <w:t>the simultaneous evaluation of CHO and CPC</w:t>
      </w:r>
      <w:r>
        <w:rPr>
          <w:sz w:val="22"/>
          <w:szCs w:val="22"/>
        </w:rPr>
        <w:t xml:space="preserve"> has been agreed, the following detailed issues need to be discussed:</w:t>
      </w:r>
    </w:p>
    <w:p w14:paraId="6BA255BB" w14:textId="77777777" w:rsidR="006D3F66" w:rsidRPr="006D3F66" w:rsidRDefault="006D3F66" w:rsidP="006D3F66">
      <w:pPr>
        <w:pStyle w:val="ListParagraph"/>
        <w:numPr>
          <w:ilvl w:val="0"/>
          <w:numId w:val="18"/>
        </w:numPr>
        <w:jc w:val="both"/>
        <w:rPr>
          <w:sz w:val="22"/>
          <w:szCs w:val="22"/>
        </w:rPr>
      </w:pPr>
      <w:r w:rsidRPr="006D3F66">
        <w:rPr>
          <w:sz w:val="22"/>
          <w:szCs w:val="22"/>
        </w:rPr>
        <w:t>The role of network nodes,</w:t>
      </w:r>
    </w:p>
    <w:p w14:paraId="2F682E43" w14:textId="779928B3" w:rsidR="006D3F66" w:rsidRPr="006D3F66" w:rsidRDefault="006D3F66" w:rsidP="006D3F66">
      <w:pPr>
        <w:pStyle w:val="ListParagraph"/>
        <w:numPr>
          <w:ilvl w:val="0"/>
          <w:numId w:val="18"/>
        </w:numPr>
        <w:jc w:val="both"/>
        <w:rPr>
          <w:sz w:val="22"/>
          <w:szCs w:val="22"/>
        </w:rPr>
      </w:pPr>
      <w:r w:rsidRPr="006D3F66">
        <w:rPr>
          <w:sz w:val="22"/>
          <w:szCs w:val="22"/>
        </w:rPr>
        <w:lastRenderedPageBreak/>
        <w:t>Signalling structure of CHO including CPC,</w:t>
      </w:r>
    </w:p>
    <w:p w14:paraId="5C47259F" w14:textId="1EB6B8CB" w:rsidR="006D3F66" w:rsidRPr="006D3F66" w:rsidRDefault="006D3F66" w:rsidP="006D3F66">
      <w:pPr>
        <w:pStyle w:val="ListParagraph"/>
        <w:numPr>
          <w:ilvl w:val="0"/>
          <w:numId w:val="18"/>
        </w:numPr>
        <w:jc w:val="both"/>
        <w:rPr>
          <w:sz w:val="22"/>
          <w:szCs w:val="22"/>
        </w:rPr>
      </w:pPr>
      <w:r w:rsidRPr="006D3F66">
        <w:rPr>
          <w:sz w:val="22"/>
          <w:szCs w:val="22"/>
        </w:rPr>
        <w:t xml:space="preserve">UE behaviour </w:t>
      </w:r>
      <w:r w:rsidR="00ED2157">
        <w:rPr>
          <w:sz w:val="22"/>
          <w:szCs w:val="22"/>
        </w:rPr>
        <w:t>in</w:t>
      </w:r>
      <w:r w:rsidRPr="006D3F66">
        <w:rPr>
          <w:sz w:val="22"/>
          <w:szCs w:val="22"/>
        </w:rPr>
        <w:t xml:space="preserve"> the execution phase.</w:t>
      </w:r>
    </w:p>
    <w:p w14:paraId="3507236A" w14:textId="79DFF8A2" w:rsidR="006D3F66" w:rsidRPr="006D3F66" w:rsidRDefault="006D3F66" w:rsidP="006D3F66">
      <w:pPr>
        <w:pStyle w:val="Heading3"/>
        <w:spacing w:after="120"/>
        <w:rPr>
          <w:rFonts w:ascii="Arial" w:hAnsi="Arial" w:cs="Arial"/>
          <w:color w:val="auto"/>
          <w:sz w:val="28"/>
          <w:szCs w:val="28"/>
        </w:rPr>
      </w:pPr>
      <w:r w:rsidRPr="006D3F66">
        <w:rPr>
          <w:rFonts w:ascii="Arial" w:hAnsi="Arial" w:cs="Arial"/>
          <w:color w:val="auto"/>
          <w:sz w:val="28"/>
          <w:szCs w:val="28"/>
        </w:rPr>
        <w:t>2.1.1 The role of network nodes</w:t>
      </w:r>
    </w:p>
    <w:p w14:paraId="072CB02A" w14:textId="6531EA50" w:rsidR="009D729E" w:rsidRDefault="009D729E" w:rsidP="00AC5C1D">
      <w:pPr>
        <w:jc w:val="both"/>
        <w:rPr>
          <w:sz w:val="22"/>
          <w:szCs w:val="22"/>
        </w:rPr>
      </w:pPr>
      <w:r>
        <w:rPr>
          <w:sz w:val="22"/>
          <w:szCs w:val="22"/>
        </w:rPr>
        <w:t xml:space="preserve">For a UE in dual-connectivity mode, it has a source-MN and a source-SN. When CHO including candidate SCGs is configured, it also has candidate-MNs and the corresponding candidate-SNs (for each candidate-MN) as illustrated in Figure 1. </w:t>
      </w:r>
    </w:p>
    <w:p w14:paraId="65762FD6" w14:textId="134DB334" w:rsidR="009D729E" w:rsidRDefault="009D729E" w:rsidP="009D729E">
      <w:pPr>
        <w:jc w:val="center"/>
      </w:pPr>
      <w:r>
        <w:object w:dxaOrig="12192" w:dyaOrig="6013" w14:anchorId="3B36ED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176.25pt" o:ole="">
            <v:imagedata r:id="rId11" o:title=""/>
          </v:shape>
          <o:OLEObject Type="Embed" ProgID="Visio.Drawing.15" ShapeID="_x0000_i1025" DrawAspect="Content" ObjectID="_1742371255" r:id="rId12"/>
        </w:object>
      </w:r>
    </w:p>
    <w:p w14:paraId="26E0879E" w14:textId="06580FC6" w:rsidR="009D729E" w:rsidRDefault="009D729E" w:rsidP="009D729E">
      <w:pPr>
        <w:jc w:val="center"/>
        <w:rPr>
          <w:sz w:val="22"/>
          <w:szCs w:val="22"/>
        </w:rPr>
      </w:pPr>
      <w:r w:rsidRPr="00614708">
        <w:rPr>
          <w:b/>
          <w:bCs/>
          <w:sz w:val="22"/>
          <w:szCs w:val="22"/>
        </w:rPr>
        <w:t xml:space="preserve">Figure </w:t>
      </w:r>
      <w:r>
        <w:rPr>
          <w:b/>
          <w:bCs/>
          <w:sz w:val="22"/>
          <w:szCs w:val="22"/>
        </w:rPr>
        <w:t>1</w:t>
      </w:r>
      <w:r w:rsidRPr="00614708">
        <w:rPr>
          <w:b/>
          <w:bCs/>
          <w:sz w:val="22"/>
          <w:szCs w:val="22"/>
        </w:rPr>
        <w:t xml:space="preserve"> </w:t>
      </w:r>
      <w:r>
        <w:rPr>
          <w:b/>
          <w:bCs/>
          <w:sz w:val="22"/>
          <w:szCs w:val="22"/>
        </w:rPr>
        <w:t xml:space="preserve">network nodes involved in CHO </w:t>
      </w:r>
      <w:r w:rsidR="003C5A6B">
        <w:rPr>
          <w:b/>
          <w:bCs/>
          <w:sz w:val="22"/>
          <w:szCs w:val="22"/>
        </w:rPr>
        <w:t xml:space="preserve">including </w:t>
      </w:r>
      <w:r>
        <w:rPr>
          <w:b/>
          <w:bCs/>
          <w:sz w:val="22"/>
          <w:szCs w:val="22"/>
        </w:rPr>
        <w:t>CPC</w:t>
      </w:r>
    </w:p>
    <w:p w14:paraId="33B9ED63" w14:textId="1276D293" w:rsidR="003127F5" w:rsidRDefault="003127F5" w:rsidP="00AC5C1D">
      <w:pPr>
        <w:jc w:val="both"/>
        <w:rPr>
          <w:sz w:val="22"/>
          <w:szCs w:val="22"/>
        </w:rPr>
      </w:pPr>
      <w:r>
        <w:rPr>
          <w:sz w:val="22"/>
          <w:szCs w:val="22"/>
        </w:rPr>
        <w:t xml:space="preserve">When the source-MN gets the latest measurement reports, it may decide to prepare a CHO. The candidate PCells are </w:t>
      </w:r>
      <w:r w:rsidR="002C3854">
        <w:rPr>
          <w:sz w:val="22"/>
          <w:szCs w:val="22"/>
        </w:rPr>
        <w:t>selected</w:t>
      </w:r>
      <w:r>
        <w:rPr>
          <w:sz w:val="22"/>
          <w:szCs w:val="22"/>
        </w:rPr>
        <w:t xml:space="preserve"> by source-MN</w:t>
      </w:r>
      <w:r w:rsidR="002C3854">
        <w:rPr>
          <w:sz w:val="22"/>
          <w:szCs w:val="22"/>
        </w:rPr>
        <w:t xml:space="preserve"> for CHO preparation</w:t>
      </w:r>
      <w:r w:rsidR="00ED2157">
        <w:rPr>
          <w:sz w:val="22"/>
          <w:szCs w:val="22"/>
        </w:rPr>
        <w:t xml:space="preserve"> (which can be recommended to candidate MN later)</w:t>
      </w:r>
      <w:r>
        <w:rPr>
          <w:sz w:val="22"/>
          <w:szCs w:val="22"/>
        </w:rPr>
        <w:t xml:space="preserve">, and the execution conditions for candidate PCells are mapped to </w:t>
      </w:r>
      <w:r w:rsidRPr="00ED2157">
        <w:rPr>
          <w:i/>
          <w:iCs/>
          <w:sz w:val="22"/>
          <w:szCs w:val="22"/>
        </w:rPr>
        <w:t>MeasIds</w:t>
      </w:r>
      <w:r w:rsidRPr="003127F5">
        <w:rPr>
          <w:sz w:val="22"/>
          <w:szCs w:val="22"/>
        </w:rPr>
        <w:t xml:space="preserve"> </w:t>
      </w:r>
      <w:r>
        <w:rPr>
          <w:sz w:val="22"/>
          <w:szCs w:val="22"/>
        </w:rPr>
        <w:t xml:space="preserve">that </w:t>
      </w:r>
      <w:r w:rsidRPr="003127F5">
        <w:rPr>
          <w:sz w:val="22"/>
          <w:szCs w:val="22"/>
        </w:rPr>
        <w:t xml:space="preserve">refer to the </w:t>
      </w:r>
      <w:r>
        <w:rPr>
          <w:sz w:val="22"/>
          <w:szCs w:val="22"/>
        </w:rPr>
        <w:t xml:space="preserve">source MCG </w:t>
      </w:r>
      <w:r w:rsidRPr="00ED2157">
        <w:rPr>
          <w:i/>
          <w:iCs/>
          <w:sz w:val="22"/>
          <w:szCs w:val="22"/>
        </w:rPr>
        <w:t>measConfig</w:t>
      </w:r>
      <w:r>
        <w:rPr>
          <w:sz w:val="22"/>
          <w:szCs w:val="22"/>
        </w:rPr>
        <w:t xml:space="preserve">. Regarding who decides on the execution condition of CPC, since “nested </w:t>
      </w:r>
      <w:r w:rsidRPr="003127F5">
        <w:rPr>
          <w:sz w:val="22"/>
          <w:szCs w:val="22"/>
        </w:rPr>
        <w:t>conditional</w:t>
      </w:r>
      <w:r>
        <w:rPr>
          <w:sz w:val="22"/>
          <w:szCs w:val="22"/>
        </w:rPr>
        <w:t xml:space="preserve"> </w:t>
      </w:r>
      <w:r w:rsidRPr="003127F5">
        <w:rPr>
          <w:sz w:val="22"/>
          <w:szCs w:val="22"/>
        </w:rPr>
        <w:t>configuration</w:t>
      </w:r>
      <w:r>
        <w:rPr>
          <w:sz w:val="22"/>
          <w:szCs w:val="22"/>
        </w:rPr>
        <w:t xml:space="preserve"> container” was not agreed, the execution condition of CPC has to be associated source MCG </w:t>
      </w:r>
      <w:r w:rsidRPr="00ED2157">
        <w:rPr>
          <w:i/>
          <w:iCs/>
          <w:sz w:val="22"/>
          <w:szCs w:val="22"/>
        </w:rPr>
        <w:t>measConfig</w:t>
      </w:r>
      <w:r>
        <w:rPr>
          <w:sz w:val="22"/>
          <w:szCs w:val="22"/>
        </w:rPr>
        <w:t xml:space="preserve"> or source SCG </w:t>
      </w:r>
      <w:r w:rsidRPr="00ED2157">
        <w:rPr>
          <w:i/>
          <w:iCs/>
          <w:sz w:val="22"/>
          <w:szCs w:val="22"/>
        </w:rPr>
        <w:t>measConfig</w:t>
      </w:r>
      <w:r>
        <w:rPr>
          <w:sz w:val="22"/>
          <w:szCs w:val="22"/>
        </w:rPr>
        <w:t xml:space="preserve">. In this case, it would be straight forward that source-MN or source-SN selects the candidate </w:t>
      </w:r>
      <w:r w:rsidR="00712D9B">
        <w:rPr>
          <w:sz w:val="22"/>
          <w:szCs w:val="22"/>
        </w:rPr>
        <w:t xml:space="preserve">PSCells </w:t>
      </w:r>
      <w:r w:rsidR="002C3854">
        <w:rPr>
          <w:sz w:val="22"/>
          <w:szCs w:val="22"/>
        </w:rPr>
        <w:t xml:space="preserve">for CPC preparation </w:t>
      </w:r>
      <w:r w:rsidR="00712D9B">
        <w:rPr>
          <w:sz w:val="22"/>
          <w:szCs w:val="22"/>
        </w:rPr>
        <w:t xml:space="preserve">and decide on the corresponding execution conditions. </w:t>
      </w:r>
      <w:r w:rsidR="002C3854">
        <w:rPr>
          <w:sz w:val="22"/>
          <w:szCs w:val="22"/>
        </w:rPr>
        <w:t xml:space="preserve">The final candidate PSCells are still decided by candidate MN. </w:t>
      </w:r>
      <w:r w:rsidR="00712D9B">
        <w:rPr>
          <w:sz w:val="22"/>
          <w:szCs w:val="22"/>
        </w:rPr>
        <w:t xml:space="preserve">The execution conditions for candidate PSCells can be mapped to </w:t>
      </w:r>
      <w:r w:rsidR="00712D9B" w:rsidRPr="00ED2157">
        <w:rPr>
          <w:i/>
          <w:iCs/>
          <w:sz w:val="22"/>
          <w:szCs w:val="22"/>
        </w:rPr>
        <w:t>MeasIds</w:t>
      </w:r>
      <w:r w:rsidR="00712D9B" w:rsidRPr="003127F5">
        <w:rPr>
          <w:sz w:val="22"/>
          <w:szCs w:val="22"/>
        </w:rPr>
        <w:t xml:space="preserve"> </w:t>
      </w:r>
      <w:r w:rsidR="00712D9B">
        <w:rPr>
          <w:sz w:val="22"/>
          <w:szCs w:val="22"/>
        </w:rPr>
        <w:t xml:space="preserve">that </w:t>
      </w:r>
      <w:r w:rsidR="00712D9B" w:rsidRPr="003127F5">
        <w:rPr>
          <w:sz w:val="22"/>
          <w:szCs w:val="22"/>
        </w:rPr>
        <w:t xml:space="preserve">refer to the </w:t>
      </w:r>
      <w:r w:rsidR="00712D9B">
        <w:rPr>
          <w:sz w:val="22"/>
          <w:szCs w:val="22"/>
        </w:rPr>
        <w:t xml:space="preserve">source MCG </w:t>
      </w:r>
      <w:r w:rsidR="00712D9B" w:rsidRPr="00ED2157">
        <w:rPr>
          <w:i/>
          <w:iCs/>
          <w:sz w:val="22"/>
          <w:szCs w:val="22"/>
        </w:rPr>
        <w:t>measConfig</w:t>
      </w:r>
      <w:r w:rsidR="00712D9B">
        <w:rPr>
          <w:sz w:val="22"/>
          <w:szCs w:val="22"/>
        </w:rPr>
        <w:t xml:space="preserve"> or source SCG </w:t>
      </w:r>
      <w:r w:rsidR="00712D9B" w:rsidRPr="00ED2157">
        <w:rPr>
          <w:i/>
          <w:iCs/>
          <w:sz w:val="22"/>
          <w:szCs w:val="22"/>
        </w:rPr>
        <w:t>measConfig</w:t>
      </w:r>
      <w:r w:rsidR="00712D9B">
        <w:rPr>
          <w:sz w:val="22"/>
          <w:szCs w:val="22"/>
        </w:rPr>
        <w:t>.</w:t>
      </w:r>
    </w:p>
    <w:p w14:paraId="5B7D70B8" w14:textId="3EC545EE" w:rsidR="00CF58ED" w:rsidRPr="00CF58ED" w:rsidRDefault="00174969" w:rsidP="00CF58ED">
      <w:pPr>
        <w:jc w:val="both"/>
        <w:rPr>
          <w:b/>
          <w:bCs/>
          <w:sz w:val="22"/>
          <w:szCs w:val="22"/>
        </w:rPr>
      </w:pPr>
      <w:r w:rsidRPr="00CF58ED">
        <w:rPr>
          <w:b/>
          <w:bCs/>
          <w:sz w:val="22"/>
          <w:szCs w:val="22"/>
        </w:rPr>
        <w:t xml:space="preserve">Proposal 1: </w:t>
      </w:r>
      <w:r w:rsidR="00CF58ED" w:rsidRPr="00CF58ED">
        <w:rPr>
          <w:b/>
          <w:bCs/>
          <w:sz w:val="22"/>
          <w:szCs w:val="22"/>
        </w:rPr>
        <w:t>source-MN or source-SN selects the candidate PSCells</w:t>
      </w:r>
      <w:r w:rsidR="002C3854">
        <w:rPr>
          <w:b/>
          <w:bCs/>
          <w:sz w:val="22"/>
          <w:szCs w:val="22"/>
        </w:rPr>
        <w:t xml:space="preserve"> for CPC preparation</w:t>
      </w:r>
      <w:r w:rsidR="00CF58ED" w:rsidRPr="00CF58ED">
        <w:rPr>
          <w:b/>
          <w:bCs/>
          <w:sz w:val="22"/>
          <w:szCs w:val="22"/>
        </w:rPr>
        <w:t xml:space="preserve"> and decide on the corresponding execution conditions. The execution conditions for candidate PSCells can be mapped to </w:t>
      </w:r>
      <w:r w:rsidR="00CF58ED" w:rsidRPr="00ED2157">
        <w:rPr>
          <w:b/>
          <w:bCs/>
          <w:i/>
          <w:iCs/>
          <w:sz w:val="22"/>
          <w:szCs w:val="22"/>
        </w:rPr>
        <w:t>MeasIds</w:t>
      </w:r>
      <w:r w:rsidR="00CF58ED" w:rsidRPr="00CF58ED">
        <w:rPr>
          <w:b/>
          <w:bCs/>
          <w:sz w:val="22"/>
          <w:szCs w:val="22"/>
        </w:rPr>
        <w:t xml:space="preserve"> that refer to the source MCG </w:t>
      </w:r>
      <w:r w:rsidR="00CF58ED" w:rsidRPr="00ED2157">
        <w:rPr>
          <w:b/>
          <w:bCs/>
          <w:i/>
          <w:iCs/>
          <w:sz w:val="22"/>
          <w:szCs w:val="22"/>
        </w:rPr>
        <w:t>measConfig</w:t>
      </w:r>
      <w:r w:rsidR="00CF58ED" w:rsidRPr="00CF58ED">
        <w:rPr>
          <w:b/>
          <w:bCs/>
          <w:sz w:val="22"/>
          <w:szCs w:val="22"/>
        </w:rPr>
        <w:t xml:space="preserve"> or source SCG </w:t>
      </w:r>
      <w:r w:rsidR="00CF58ED" w:rsidRPr="00ED2157">
        <w:rPr>
          <w:b/>
          <w:bCs/>
          <w:i/>
          <w:iCs/>
          <w:sz w:val="22"/>
          <w:szCs w:val="22"/>
        </w:rPr>
        <w:t>measConfig</w:t>
      </w:r>
      <w:r w:rsidR="00CF58ED" w:rsidRPr="00CF58ED">
        <w:rPr>
          <w:b/>
          <w:bCs/>
          <w:sz w:val="22"/>
          <w:szCs w:val="22"/>
        </w:rPr>
        <w:t>.</w:t>
      </w:r>
    </w:p>
    <w:p w14:paraId="43FC7339" w14:textId="1642BE7C" w:rsidR="00174969" w:rsidRDefault="009F1B3A" w:rsidP="00AC5C1D">
      <w:pPr>
        <w:jc w:val="both"/>
        <w:rPr>
          <w:sz w:val="22"/>
          <w:szCs w:val="22"/>
        </w:rPr>
      </w:pPr>
      <w:r>
        <w:rPr>
          <w:sz w:val="22"/>
          <w:szCs w:val="22"/>
        </w:rPr>
        <w:t xml:space="preserve">In Rel-17 DCCA, </w:t>
      </w:r>
      <w:r w:rsidRPr="009F1B3A">
        <w:rPr>
          <w:sz w:val="22"/>
          <w:szCs w:val="22"/>
        </w:rPr>
        <w:t xml:space="preserve">for MN-initiated inter-SN CPC, the network only indicates </w:t>
      </w:r>
      <w:r w:rsidRPr="00ED2157">
        <w:rPr>
          <w:i/>
          <w:iCs/>
          <w:sz w:val="22"/>
          <w:szCs w:val="22"/>
        </w:rPr>
        <w:t>MeasId(s)</w:t>
      </w:r>
      <w:r w:rsidRPr="009F1B3A">
        <w:rPr>
          <w:sz w:val="22"/>
          <w:szCs w:val="22"/>
        </w:rPr>
        <w:t xml:space="preserve"> associated with </w:t>
      </w:r>
      <w:r w:rsidRPr="00ED2157">
        <w:rPr>
          <w:i/>
          <w:iCs/>
          <w:sz w:val="22"/>
          <w:szCs w:val="22"/>
        </w:rPr>
        <w:t>condEventA4</w:t>
      </w:r>
      <w:r w:rsidRPr="009F1B3A">
        <w:rPr>
          <w:sz w:val="22"/>
          <w:szCs w:val="22"/>
        </w:rPr>
        <w:t xml:space="preserve">. For intra-SN CPC, the network only indicates </w:t>
      </w:r>
      <w:r w:rsidRPr="00ED2157">
        <w:rPr>
          <w:i/>
          <w:iCs/>
          <w:sz w:val="22"/>
          <w:szCs w:val="22"/>
        </w:rPr>
        <w:t>MeasId(s)</w:t>
      </w:r>
      <w:r w:rsidRPr="009F1B3A">
        <w:rPr>
          <w:sz w:val="22"/>
          <w:szCs w:val="22"/>
        </w:rPr>
        <w:t xml:space="preserve"> associated with </w:t>
      </w:r>
      <w:r w:rsidRPr="00ED2157">
        <w:rPr>
          <w:i/>
          <w:iCs/>
          <w:sz w:val="22"/>
          <w:szCs w:val="22"/>
        </w:rPr>
        <w:t>condEventA3</w:t>
      </w:r>
      <w:r w:rsidRPr="009F1B3A">
        <w:rPr>
          <w:sz w:val="22"/>
          <w:szCs w:val="22"/>
        </w:rPr>
        <w:t xml:space="preserve"> or </w:t>
      </w:r>
      <w:r w:rsidRPr="00ED2157">
        <w:rPr>
          <w:i/>
          <w:iCs/>
          <w:sz w:val="22"/>
          <w:szCs w:val="22"/>
        </w:rPr>
        <w:t>condEventA5</w:t>
      </w:r>
      <w:r w:rsidRPr="009F1B3A">
        <w:rPr>
          <w:sz w:val="22"/>
          <w:szCs w:val="22"/>
        </w:rPr>
        <w:t>.</w:t>
      </w:r>
      <w:r>
        <w:rPr>
          <w:sz w:val="22"/>
          <w:szCs w:val="22"/>
        </w:rPr>
        <w:t xml:space="preserve"> For CHO including CPC, the same design can be applied, i.e., for CPC included in CHO, when </w:t>
      </w:r>
      <w:r w:rsidRPr="009F1B3A">
        <w:rPr>
          <w:sz w:val="22"/>
          <w:szCs w:val="22"/>
        </w:rPr>
        <w:t>source-MN decide</w:t>
      </w:r>
      <w:r>
        <w:rPr>
          <w:sz w:val="22"/>
          <w:szCs w:val="22"/>
        </w:rPr>
        <w:t>s</w:t>
      </w:r>
      <w:r w:rsidRPr="009F1B3A">
        <w:rPr>
          <w:sz w:val="22"/>
          <w:szCs w:val="22"/>
        </w:rPr>
        <w:t xml:space="preserve"> on the execution condition</w:t>
      </w:r>
      <w:r>
        <w:rPr>
          <w:sz w:val="22"/>
          <w:szCs w:val="22"/>
        </w:rPr>
        <w:t xml:space="preserve">, only </w:t>
      </w:r>
      <w:r w:rsidRPr="00ED2157">
        <w:rPr>
          <w:i/>
          <w:iCs/>
          <w:sz w:val="22"/>
          <w:szCs w:val="22"/>
        </w:rPr>
        <w:t>condEventA4</w:t>
      </w:r>
      <w:r>
        <w:rPr>
          <w:sz w:val="22"/>
          <w:szCs w:val="22"/>
        </w:rPr>
        <w:t xml:space="preserve"> is applicable; when </w:t>
      </w:r>
      <w:r w:rsidRPr="009F1B3A">
        <w:rPr>
          <w:sz w:val="22"/>
          <w:szCs w:val="22"/>
        </w:rPr>
        <w:t>source-</w:t>
      </w:r>
      <w:r>
        <w:rPr>
          <w:sz w:val="22"/>
          <w:szCs w:val="22"/>
        </w:rPr>
        <w:t>S</w:t>
      </w:r>
      <w:r w:rsidRPr="009F1B3A">
        <w:rPr>
          <w:sz w:val="22"/>
          <w:szCs w:val="22"/>
        </w:rPr>
        <w:t>N decide</w:t>
      </w:r>
      <w:r>
        <w:rPr>
          <w:sz w:val="22"/>
          <w:szCs w:val="22"/>
        </w:rPr>
        <w:t>s</w:t>
      </w:r>
      <w:r w:rsidRPr="009F1B3A">
        <w:rPr>
          <w:sz w:val="22"/>
          <w:szCs w:val="22"/>
        </w:rPr>
        <w:t xml:space="preserve"> on the execution condition</w:t>
      </w:r>
      <w:r>
        <w:rPr>
          <w:sz w:val="22"/>
          <w:szCs w:val="22"/>
        </w:rPr>
        <w:t xml:space="preserve">, </w:t>
      </w:r>
      <w:r w:rsidRPr="00ED2157">
        <w:rPr>
          <w:i/>
          <w:iCs/>
          <w:sz w:val="22"/>
          <w:szCs w:val="22"/>
        </w:rPr>
        <w:t>condEventA3</w:t>
      </w:r>
      <w:r>
        <w:rPr>
          <w:sz w:val="22"/>
          <w:szCs w:val="22"/>
        </w:rPr>
        <w:t xml:space="preserve"> and</w:t>
      </w:r>
      <w:r w:rsidRPr="009F1B3A">
        <w:rPr>
          <w:sz w:val="22"/>
          <w:szCs w:val="22"/>
        </w:rPr>
        <w:t xml:space="preserve"> </w:t>
      </w:r>
      <w:r w:rsidRPr="00ED2157">
        <w:rPr>
          <w:i/>
          <w:iCs/>
          <w:sz w:val="22"/>
          <w:szCs w:val="22"/>
        </w:rPr>
        <w:t>condEventA5</w:t>
      </w:r>
      <w:r>
        <w:rPr>
          <w:sz w:val="22"/>
          <w:szCs w:val="22"/>
        </w:rPr>
        <w:t xml:space="preserve"> are applicable.</w:t>
      </w:r>
    </w:p>
    <w:p w14:paraId="0E1392FE" w14:textId="02292F4F" w:rsidR="009F1B3A" w:rsidRDefault="009F1B3A" w:rsidP="00AC5C1D">
      <w:pPr>
        <w:jc w:val="both"/>
        <w:rPr>
          <w:b/>
          <w:bCs/>
          <w:sz w:val="22"/>
          <w:szCs w:val="22"/>
        </w:rPr>
      </w:pPr>
      <w:r w:rsidRPr="009F1B3A">
        <w:rPr>
          <w:b/>
          <w:bCs/>
          <w:sz w:val="22"/>
          <w:szCs w:val="22"/>
        </w:rPr>
        <w:t>Proposal 2: for CPC include</w:t>
      </w:r>
      <w:r>
        <w:rPr>
          <w:b/>
          <w:bCs/>
          <w:sz w:val="22"/>
          <w:szCs w:val="22"/>
        </w:rPr>
        <w:t>d</w:t>
      </w:r>
      <w:r w:rsidRPr="009F1B3A">
        <w:rPr>
          <w:b/>
          <w:bCs/>
          <w:sz w:val="22"/>
          <w:szCs w:val="22"/>
        </w:rPr>
        <w:t xml:space="preserve"> in CHO, when source-MN decides on the execution condition, only </w:t>
      </w:r>
      <w:r w:rsidRPr="00ED2157">
        <w:rPr>
          <w:b/>
          <w:bCs/>
          <w:i/>
          <w:iCs/>
          <w:sz w:val="22"/>
          <w:szCs w:val="22"/>
        </w:rPr>
        <w:t>condEventA4</w:t>
      </w:r>
      <w:r w:rsidRPr="009F1B3A">
        <w:rPr>
          <w:b/>
          <w:bCs/>
          <w:sz w:val="22"/>
          <w:szCs w:val="22"/>
        </w:rPr>
        <w:t xml:space="preserve"> is applicable; when source-SN decides on the execution condition, </w:t>
      </w:r>
      <w:r w:rsidRPr="00ED2157">
        <w:rPr>
          <w:b/>
          <w:bCs/>
          <w:i/>
          <w:iCs/>
          <w:sz w:val="22"/>
          <w:szCs w:val="22"/>
        </w:rPr>
        <w:t>condEventA3</w:t>
      </w:r>
      <w:r w:rsidRPr="009F1B3A">
        <w:rPr>
          <w:b/>
          <w:bCs/>
          <w:sz w:val="22"/>
          <w:szCs w:val="22"/>
        </w:rPr>
        <w:t xml:space="preserve"> and </w:t>
      </w:r>
      <w:r w:rsidRPr="00ED2157">
        <w:rPr>
          <w:b/>
          <w:bCs/>
          <w:i/>
          <w:iCs/>
          <w:sz w:val="22"/>
          <w:szCs w:val="22"/>
        </w:rPr>
        <w:t>condEventA5</w:t>
      </w:r>
      <w:r w:rsidRPr="009F1B3A">
        <w:rPr>
          <w:b/>
          <w:bCs/>
          <w:sz w:val="22"/>
          <w:szCs w:val="22"/>
        </w:rPr>
        <w:t xml:space="preserve"> are applicable.</w:t>
      </w:r>
    </w:p>
    <w:p w14:paraId="010898D5" w14:textId="77777777" w:rsidR="00D27AB1" w:rsidRDefault="00D27AB1" w:rsidP="00AC5C1D">
      <w:pPr>
        <w:jc w:val="both"/>
        <w:rPr>
          <w:b/>
          <w:bCs/>
          <w:sz w:val="22"/>
          <w:szCs w:val="22"/>
        </w:rPr>
      </w:pPr>
    </w:p>
    <w:p w14:paraId="54B7C286" w14:textId="1881FE63" w:rsidR="004A25F6" w:rsidRPr="006D3F66" w:rsidRDefault="004A25F6" w:rsidP="004A25F6">
      <w:pPr>
        <w:pStyle w:val="Heading3"/>
        <w:spacing w:after="120"/>
        <w:rPr>
          <w:rFonts w:ascii="Arial" w:hAnsi="Arial" w:cs="Arial"/>
          <w:color w:val="auto"/>
          <w:sz w:val="28"/>
          <w:szCs w:val="28"/>
        </w:rPr>
      </w:pPr>
      <w:r w:rsidRPr="006D3F66">
        <w:rPr>
          <w:rFonts w:ascii="Arial" w:hAnsi="Arial" w:cs="Arial"/>
          <w:color w:val="auto"/>
          <w:sz w:val="28"/>
          <w:szCs w:val="28"/>
        </w:rPr>
        <w:t>2.1.</w:t>
      </w:r>
      <w:r>
        <w:rPr>
          <w:rFonts w:ascii="Arial" w:hAnsi="Arial" w:cs="Arial"/>
          <w:color w:val="auto"/>
          <w:sz w:val="28"/>
          <w:szCs w:val="28"/>
        </w:rPr>
        <w:t>2</w:t>
      </w:r>
      <w:r w:rsidRPr="006D3F66">
        <w:rPr>
          <w:rFonts w:ascii="Arial" w:hAnsi="Arial" w:cs="Arial"/>
          <w:color w:val="auto"/>
          <w:sz w:val="28"/>
          <w:szCs w:val="28"/>
        </w:rPr>
        <w:t xml:space="preserve"> </w:t>
      </w:r>
      <w:r>
        <w:rPr>
          <w:rFonts w:ascii="Arial" w:hAnsi="Arial" w:cs="Arial"/>
          <w:color w:val="auto"/>
          <w:sz w:val="28"/>
          <w:szCs w:val="28"/>
        </w:rPr>
        <w:t>RRC signalling structure</w:t>
      </w:r>
    </w:p>
    <w:p w14:paraId="21B18122" w14:textId="1B94DFB1" w:rsidR="00694EE3" w:rsidRDefault="00694EE3" w:rsidP="00AC5C1D">
      <w:pPr>
        <w:jc w:val="both"/>
        <w:rPr>
          <w:sz w:val="22"/>
          <w:szCs w:val="22"/>
        </w:rPr>
      </w:pPr>
      <w:r>
        <w:rPr>
          <w:sz w:val="22"/>
          <w:szCs w:val="22"/>
        </w:rPr>
        <w:t xml:space="preserve">In Rel-18 eMOB WI [1], “as </w:t>
      </w:r>
      <w:r w:rsidRPr="00694EE3">
        <w:rPr>
          <w:sz w:val="22"/>
          <w:szCs w:val="22"/>
        </w:rPr>
        <w:t xml:space="preserve">the radio link quality of the conditionally-configured PSCell may not be good enough or may not be the best candidate PSCell when the UE accesses the target PCell, and this may impact the UE throughput. To mitigate this throughput impact, Rel-18 CHO+MRDC can consider </w:t>
      </w:r>
      <w:r w:rsidRPr="00694EE3">
        <w:rPr>
          <w:sz w:val="22"/>
          <w:szCs w:val="22"/>
        </w:rPr>
        <w:lastRenderedPageBreak/>
        <w:t>CHO including target MCG and multiple candidate SCGs for CPC/CPA.</w:t>
      </w:r>
      <w:r>
        <w:rPr>
          <w:sz w:val="22"/>
          <w:szCs w:val="22"/>
        </w:rPr>
        <w:t xml:space="preserve">”, which means </w:t>
      </w:r>
      <w:r w:rsidR="00477051">
        <w:rPr>
          <w:sz w:val="22"/>
          <w:szCs w:val="22"/>
        </w:rPr>
        <w:t>to combine CHO and CPAC together in the way that CPAC is part of CHO execution.</w:t>
      </w:r>
    </w:p>
    <w:p w14:paraId="11651015" w14:textId="764BD8AC" w:rsidR="00477051" w:rsidRDefault="009D7579" w:rsidP="007F59A4">
      <w:pPr>
        <w:spacing w:before="120"/>
        <w:jc w:val="both"/>
        <w:rPr>
          <w:sz w:val="22"/>
          <w:szCs w:val="22"/>
        </w:rPr>
      </w:pPr>
      <w:r>
        <w:rPr>
          <w:sz w:val="22"/>
          <w:szCs w:val="22"/>
        </w:rPr>
        <w:t>I</w:t>
      </w:r>
      <w:r w:rsidR="00B6246E">
        <w:rPr>
          <w:sz w:val="22"/>
          <w:szCs w:val="22"/>
        </w:rPr>
        <w:t xml:space="preserve">n case of CHO, </w:t>
      </w:r>
      <w:r>
        <w:rPr>
          <w:sz w:val="22"/>
          <w:szCs w:val="22"/>
        </w:rPr>
        <w:t xml:space="preserve">for each candidate PCell, </w:t>
      </w:r>
      <w:r w:rsidR="00B6246E" w:rsidRPr="00B6246E">
        <w:rPr>
          <w:sz w:val="22"/>
          <w:szCs w:val="22"/>
        </w:rPr>
        <w:t xml:space="preserve">the </w:t>
      </w:r>
      <w:r w:rsidR="00B6246E" w:rsidRPr="00B6246E">
        <w:rPr>
          <w:i/>
          <w:iCs/>
          <w:sz w:val="22"/>
          <w:szCs w:val="22"/>
        </w:rPr>
        <w:t>RRCReconfiguration</w:t>
      </w:r>
      <w:r w:rsidR="00B6246E" w:rsidRPr="00B6246E">
        <w:rPr>
          <w:sz w:val="22"/>
          <w:szCs w:val="22"/>
        </w:rPr>
        <w:t xml:space="preserve"> within </w:t>
      </w:r>
      <w:r w:rsidR="00B6246E" w:rsidRPr="00B6246E">
        <w:rPr>
          <w:i/>
          <w:iCs/>
          <w:sz w:val="22"/>
          <w:szCs w:val="22"/>
        </w:rPr>
        <w:t>condRRCReconfig</w:t>
      </w:r>
      <w:r w:rsidR="00B6246E" w:rsidRPr="00B6246E">
        <w:rPr>
          <w:sz w:val="22"/>
          <w:szCs w:val="22"/>
        </w:rPr>
        <w:t xml:space="preserve"> includes the </w:t>
      </w:r>
      <w:r w:rsidR="00B6246E" w:rsidRPr="00B6246E">
        <w:rPr>
          <w:i/>
          <w:iCs/>
          <w:sz w:val="22"/>
          <w:szCs w:val="22"/>
        </w:rPr>
        <w:t>masterCellGroup</w:t>
      </w:r>
      <w:r w:rsidR="00B6246E" w:rsidRPr="00B6246E">
        <w:rPr>
          <w:sz w:val="22"/>
          <w:szCs w:val="22"/>
        </w:rPr>
        <w:t xml:space="preserve"> including the </w:t>
      </w:r>
      <w:r w:rsidR="00B6246E" w:rsidRPr="00B6246E">
        <w:rPr>
          <w:i/>
          <w:iCs/>
          <w:sz w:val="22"/>
          <w:szCs w:val="22"/>
        </w:rPr>
        <w:t>reconfigurationWithSync</w:t>
      </w:r>
      <w:r w:rsidR="00B6246E">
        <w:rPr>
          <w:sz w:val="22"/>
          <w:szCs w:val="22"/>
        </w:rPr>
        <w:t xml:space="preserve">. And in case of CPAC, </w:t>
      </w:r>
      <w:r>
        <w:rPr>
          <w:sz w:val="22"/>
          <w:szCs w:val="22"/>
        </w:rPr>
        <w:t>for each candidate PSCell,</w:t>
      </w:r>
      <w:r w:rsidRPr="00B6246E">
        <w:rPr>
          <w:sz w:val="22"/>
          <w:szCs w:val="22"/>
        </w:rPr>
        <w:t xml:space="preserve"> </w:t>
      </w:r>
      <w:r w:rsidR="00B6246E" w:rsidRPr="00B6246E">
        <w:rPr>
          <w:sz w:val="22"/>
          <w:szCs w:val="22"/>
        </w:rPr>
        <w:t xml:space="preserve">the </w:t>
      </w:r>
      <w:r w:rsidR="00B6246E" w:rsidRPr="00B6246E">
        <w:rPr>
          <w:i/>
          <w:iCs/>
          <w:sz w:val="22"/>
          <w:szCs w:val="22"/>
        </w:rPr>
        <w:t>RRCReconfiguration</w:t>
      </w:r>
      <w:r w:rsidR="00B6246E" w:rsidRPr="00B6246E">
        <w:rPr>
          <w:sz w:val="22"/>
          <w:szCs w:val="22"/>
        </w:rPr>
        <w:t xml:space="preserve"> within </w:t>
      </w:r>
      <w:r w:rsidR="00B6246E" w:rsidRPr="00B6246E">
        <w:rPr>
          <w:i/>
          <w:iCs/>
          <w:sz w:val="22"/>
          <w:szCs w:val="22"/>
        </w:rPr>
        <w:t>condRRCReconfig</w:t>
      </w:r>
      <w:r w:rsidR="00B6246E" w:rsidRPr="00B6246E">
        <w:rPr>
          <w:sz w:val="22"/>
          <w:szCs w:val="22"/>
        </w:rPr>
        <w:t xml:space="preserve"> includes the </w:t>
      </w:r>
      <w:r w:rsidR="00B6246E" w:rsidRPr="00B6246E">
        <w:rPr>
          <w:i/>
          <w:iCs/>
          <w:sz w:val="22"/>
          <w:szCs w:val="22"/>
        </w:rPr>
        <w:t>secondaryCellGroup</w:t>
      </w:r>
      <w:r w:rsidR="00B6246E" w:rsidRPr="00B6246E">
        <w:rPr>
          <w:sz w:val="22"/>
          <w:szCs w:val="22"/>
        </w:rPr>
        <w:t xml:space="preserve"> including the </w:t>
      </w:r>
      <w:r w:rsidR="00B6246E" w:rsidRPr="00B6246E">
        <w:rPr>
          <w:i/>
          <w:iCs/>
          <w:sz w:val="22"/>
          <w:szCs w:val="22"/>
        </w:rPr>
        <w:t>reconfigurationWithSync</w:t>
      </w:r>
      <w:r w:rsidR="00B6246E">
        <w:rPr>
          <w:sz w:val="22"/>
          <w:szCs w:val="22"/>
        </w:rPr>
        <w:t xml:space="preserve">. When the CHO includes </w:t>
      </w:r>
      <w:r w:rsidR="00B6246E" w:rsidRPr="00694EE3">
        <w:rPr>
          <w:sz w:val="22"/>
          <w:szCs w:val="22"/>
        </w:rPr>
        <w:t>multiple candidate SCGs for CPC/CPA</w:t>
      </w:r>
      <w:r w:rsidR="00B6246E">
        <w:rPr>
          <w:sz w:val="22"/>
          <w:szCs w:val="22"/>
        </w:rPr>
        <w:t xml:space="preserve">, the </w:t>
      </w:r>
      <w:r w:rsidR="00B6246E" w:rsidRPr="00B6246E">
        <w:rPr>
          <w:i/>
          <w:iCs/>
          <w:sz w:val="22"/>
          <w:szCs w:val="22"/>
        </w:rPr>
        <w:t>RRCReconfiguration</w:t>
      </w:r>
      <w:r w:rsidR="00B6246E" w:rsidRPr="00B6246E">
        <w:rPr>
          <w:sz w:val="22"/>
          <w:szCs w:val="22"/>
        </w:rPr>
        <w:t xml:space="preserve"> message contained in </w:t>
      </w:r>
      <w:r w:rsidR="00B6246E" w:rsidRPr="00B6246E">
        <w:rPr>
          <w:i/>
          <w:iCs/>
          <w:sz w:val="22"/>
          <w:szCs w:val="22"/>
        </w:rPr>
        <w:t>condRRCReconfig</w:t>
      </w:r>
      <w:r w:rsidR="00B6246E">
        <w:rPr>
          <w:sz w:val="22"/>
          <w:szCs w:val="22"/>
        </w:rPr>
        <w:t xml:space="preserve"> for CHO must include a conditional configuration for CPAC. </w:t>
      </w:r>
    </w:p>
    <w:p w14:paraId="4330F3AE" w14:textId="73790793" w:rsidR="00AC1904" w:rsidRDefault="00AC1904" w:rsidP="00451981">
      <w:pPr>
        <w:shd w:val="clear" w:color="auto" w:fill="FFFFFF"/>
        <w:spacing w:after="0"/>
        <w:jc w:val="both"/>
        <w:textAlignment w:val="baseline"/>
        <w:rPr>
          <w:sz w:val="22"/>
          <w:szCs w:val="22"/>
        </w:rPr>
      </w:pPr>
      <w:r w:rsidRPr="00614708">
        <w:rPr>
          <w:sz w:val="22"/>
          <w:szCs w:val="22"/>
        </w:rPr>
        <w:t>CHO including target MCG and candidate SCGs for CPC/CPA means</w:t>
      </w:r>
      <w:r w:rsidR="00A9362F">
        <w:rPr>
          <w:sz w:val="22"/>
          <w:szCs w:val="22"/>
        </w:rPr>
        <w:t xml:space="preserve"> that there are</w:t>
      </w:r>
      <w:r w:rsidRPr="00614708">
        <w:rPr>
          <w:sz w:val="22"/>
          <w:szCs w:val="22"/>
        </w:rPr>
        <w:t xml:space="preserve"> two-level conditional configuration</w:t>
      </w:r>
      <w:r>
        <w:rPr>
          <w:sz w:val="22"/>
          <w:szCs w:val="22"/>
        </w:rPr>
        <w:t>s</w:t>
      </w:r>
      <w:r w:rsidRPr="00614708">
        <w:rPr>
          <w:sz w:val="22"/>
          <w:szCs w:val="22"/>
        </w:rPr>
        <w:t>, i.e., the first level is for conditional PCell change, and the second level is for conditional PSCell change/addition (one or more candidate PSCells can be configured associated with one candidate PCell).</w:t>
      </w:r>
      <w:r w:rsidRPr="00614708">
        <w:rPr>
          <w:rFonts w:hint="eastAsia"/>
          <w:sz w:val="22"/>
          <w:szCs w:val="22"/>
        </w:rPr>
        <w:t xml:space="preserve"> </w:t>
      </w:r>
      <w:r w:rsidR="009D7579">
        <w:rPr>
          <w:sz w:val="22"/>
          <w:szCs w:val="22"/>
        </w:rPr>
        <w:t>Since RAN2 agreed “</w:t>
      </w:r>
      <w:r w:rsidR="009D7579" w:rsidRPr="009D7579">
        <w:rPr>
          <w:sz w:val="22"/>
          <w:szCs w:val="22"/>
        </w:rPr>
        <w:t>UE should not need to unpack any of the nested conditional</w:t>
      </w:r>
      <w:r w:rsidR="00ED2157">
        <w:rPr>
          <w:sz w:val="22"/>
          <w:szCs w:val="22"/>
        </w:rPr>
        <w:t xml:space="preserve"> </w:t>
      </w:r>
      <w:r w:rsidR="009D7579" w:rsidRPr="009D7579">
        <w:rPr>
          <w:sz w:val="22"/>
          <w:szCs w:val="22"/>
        </w:rPr>
        <w:t>configuration containers in order to measure</w:t>
      </w:r>
      <w:r w:rsidR="009D7579">
        <w:rPr>
          <w:sz w:val="22"/>
          <w:szCs w:val="22"/>
        </w:rPr>
        <w:t xml:space="preserve">”, the CPAC execution condition needs to be put in the first level instead, i.e., the same level as CHO execution condition. Similarly, </w:t>
      </w:r>
      <w:bookmarkStart w:id="3" w:name="_Hlk130390227"/>
      <w:r w:rsidR="009D7579">
        <w:rPr>
          <w:sz w:val="22"/>
          <w:szCs w:val="22"/>
        </w:rPr>
        <w:t>the information of frequency and PCI of each candidate PSCell</w:t>
      </w:r>
      <w:bookmarkEnd w:id="3"/>
      <w:r w:rsidR="009D7579">
        <w:rPr>
          <w:sz w:val="22"/>
          <w:szCs w:val="22"/>
        </w:rPr>
        <w:t xml:space="preserve"> has to be provided in the same level. The second change is that it seems not necessary to use conditional configuration </w:t>
      </w:r>
      <w:r w:rsidR="00A946C4">
        <w:rPr>
          <w:sz w:val="22"/>
          <w:szCs w:val="22"/>
        </w:rPr>
        <w:t xml:space="preserve">RRC </w:t>
      </w:r>
      <w:r w:rsidR="009D7579">
        <w:rPr>
          <w:sz w:val="22"/>
          <w:szCs w:val="22"/>
        </w:rPr>
        <w:t xml:space="preserve">structure for CPAC, as the execution condition is already out of this structure. </w:t>
      </w:r>
      <w:bookmarkStart w:id="4" w:name="_Hlk130390436"/>
      <w:r w:rsidR="009D7579">
        <w:rPr>
          <w:sz w:val="22"/>
          <w:szCs w:val="22"/>
        </w:rPr>
        <w:t>A list of configurations of candidate PSCells</w:t>
      </w:r>
      <w:r w:rsidR="00A946C4">
        <w:rPr>
          <w:sz w:val="22"/>
          <w:szCs w:val="22"/>
        </w:rPr>
        <w:t xml:space="preserve"> is sufficient, and following R17 DCCA, for each candidate PSCell, the </w:t>
      </w:r>
      <w:r w:rsidR="00A946C4" w:rsidRPr="00B6246E">
        <w:rPr>
          <w:i/>
          <w:iCs/>
          <w:sz w:val="22"/>
          <w:szCs w:val="22"/>
        </w:rPr>
        <w:t>RRCReconfiguration</w:t>
      </w:r>
      <w:r w:rsidR="00A946C4" w:rsidRPr="00B6246E">
        <w:rPr>
          <w:sz w:val="22"/>
          <w:szCs w:val="22"/>
        </w:rPr>
        <w:t xml:space="preserve"> message contained in </w:t>
      </w:r>
      <w:r w:rsidR="00A946C4" w:rsidRPr="00B6246E">
        <w:rPr>
          <w:i/>
          <w:iCs/>
          <w:sz w:val="22"/>
          <w:szCs w:val="22"/>
        </w:rPr>
        <w:t>condRRCReconfig</w:t>
      </w:r>
      <w:r w:rsidR="00A946C4">
        <w:rPr>
          <w:i/>
          <w:iCs/>
          <w:sz w:val="22"/>
          <w:szCs w:val="22"/>
        </w:rPr>
        <w:t xml:space="preserve"> </w:t>
      </w:r>
      <w:r w:rsidR="00A946C4" w:rsidRPr="00A946C4">
        <w:rPr>
          <w:sz w:val="22"/>
          <w:szCs w:val="22"/>
        </w:rPr>
        <w:t>is in MN format</w:t>
      </w:r>
      <w:r w:rsidR="00A946C4">
        <w:rPr>
          <w:sz w:val="22"/>
          <w:szCs w:val="22"/>
        </w:rPr>
        <w:t xml:space="preserve"> (i.e., it includes MCG configuration)</w:t>
      </w:r>
      <w:bookmarkEnd w:id="4"/>
      <w:r w:rsidR="00A946C4">
        <w:rPr>
          <w:sz w:val="22"/>
          <w:szCs w:val="22"/>
        </w:rPr>
        <w:t xml:space="preserve">. </w:t>
      </w:r>
      <w:r w:rsidR="00CF742D" w:rsidRPr="00CF742D">
        <w:rPr>
          <w:sz w:val="22"/>
          <w:szCs w:val="22"/>
        </w:rPr>
        <w:t>An example of the</w:t>
      </w:r>
      <w:r w:rsidRPr="00614708">
        <w:rPr>
          <w:sz w:val="22"/>
          <w:szCs w:val="22"/>
        </w:rPr>
        <w:t xml:space="preserve"> </w:t>
      </w:r>
      <w:r w:rsidR="00A946C4">
        <w:rPr>
          <w:sz w:val="22"/>
          <w:szCs w:val="22"/>
        </w:rPr>
        <w:t xml:space="preserve">RRC </w:t>
      </w:r>
      <w:r w:rsidRPr="00614708">
        <w:rPr>
          <w:sz w:val="22"/>
          <w:szCs w:val="22"/>
        </w:rPr>
        <w:t xml:space="preserve">signalling structure is as </w:t>
      </w:r>
      <w:r w:rsidRPr="005150B8">
        <w:rPr>
          <w:sz w:val="22"/>
          <w:szCs w:val="22"/>
        </w:rPr>
        <w:t xml:space="preserve">illustrated in Figure </w:t>
      </w:r>
      <w:r w:rsidR="009D7579">
        <w:rPr>
          <w:sz w:val="22"/>
          <w:szCs w:val="22"/>
        </w:rPr>
        <w:t>2</w:t>
      </w:r>
      <w:r w:rsidRPr="00614708">
        <w:rPr>
          <w:sz w:val="22"/>
          <w:szCs w:val="22"/>
        </w:rPr>
        <w:t>.</w:t>
      </w:r>
    </w:p>
    <w:p w14:paraId="3AFD3663" w14:textId="30FF8DC3" w:rsidR="00C730A0" w:rsidRDefault="009D7579" w:rsidP="007F59A4">
      <w:pPr>
        <w:spacing w:before="120"/>
        <w:jc w:val="both"/>
      </w:pPr>
      <w:r>
        <w:object w:dxaOrig="17172" w:dyaOrig="8076" w14:anchorId="0A09B208">
          <v:shape id="_x0000_i1026" type="#_x0000_t75" style="width:450.75pt;height:212.25pt" o:ole="">
            <v:imagedata r:id="rId13" o:title=""/>
          </v:shape>
          <o:OLEObject Type="Embed" ProgID="Visio.Drawing.15" ShapeID="_x0000_i1026" DrawAspect="Content" ObjectID="_1742371256" r:id="rId14"/>
        </w:object>
      </w:r>
    </w:p>
    <w:p w14:paraId="340634DB" w14:textId="3A03C553" w:rsidR="00AC1904" w:rsidRPr="00614708" w:rsidRDefault="00AC1904" w:rsidP="009D7579">
      <w:pPr>
        <w:jc w:val="center"/>
        <w:rPr>
          <w:b/>
          <w:bCs/>
          <w:sz w:val="22"/>
          <w:szCs w:val="22"/>
        </w:rPr>
      </w:pPr>
      <w:r w:rsidRPr="00614708">
        <w:rPr>
          <w:b/>
          <w:bCs/>
          <w:sz w:val="22"/>
          <w:szCs w:val="22"/>
        </w:rPr>
        <w:t xml:space="preserve">Figure </w:t>
      </w:r>
      <w:r w:rsidR="009D7579">
        <w:rPr>
          <w:b/>
          <w:bCs/>
          <w:sz w:val="22"/>
          <w:szCs w:val="22"/>
        </w:rPr>
        <w:t>2</w:t>
      </w:r>
      <w:r w:rsidRPr="00614708">
        <w:rPr>
          <w:b/>
          <w:bCs/>
          <w:sz w:val="22"/>
          <w:szCs w:val="22"/>
        </w:rPr>
        <w:t xml:space="preserve"> </w:t>
      </w:r>
      <w:r w:rsidR="00A946C4">
        <w:rPr>
          <w:b/>
          <w:bCs/>
          <w:sz w:val="22"/>
          <w:szCs w:val="22"/>
        </w:rPr>
        <w:t xml:space="preserve">RRC </w:t>
      </w:r>
      <w:r w:rsidRPr="00614708">
        <w:rPr>
          <w:b/>
          <w:bCs/>
          <w:sz w:val="22"/>
          <w:szCs w:val="22"/>
        </w:rPr>
        <w:t xml:space="preserve">signalling structure for </w:t>
      </w:r>
      <w:r w:rsidR="00A946C4">
        <w:rPr>
          <w:b/>
          <w:bCs/>
          <w:sz w:val="22"/>
          <w:szCs w:val="22"/>
        </w:rPr>
        <w:t>simultaneous</w:t>
      </w:r>
      <w:r w:rsidR="009D7579">
        <w:rPr>
          <w:b/>
          <w:bCs/>
          <w:sz w:val="22"/>
          <w:szCs w:val="22"/>
        </w:rPr>
        <w:t xml:space="preserve"> evaluation</w:t>
      </w:r>
    </w:p>
    <w:p w14:paraId="729E4A46" w14:textId="655CCAE7" w:rsidR="00AC1904" w:rsidRDefault="00A946C4" w:rsidP="00451981">
      <w:pPr>
        <w:spacing w:before="120"/>
        <w:jc w:val="both"/>
        <w:rPr>
          <w:sz w:val="22"/>
          <w:szCs w:val="22"/>
        </w:rPr>
      </w:pPr>
      <w:r>
        <w:rPr>
          <w:sz w:val="22"/>
          <w:szCs w:val="22"/>
        </w:rPr>
        <w:t xml:space="preserve">To sum up, the </w:t>
      </w:r>
      <w:r w:rsidRPr="00A946C4">
        <w:rPr>
          <w:sz w:val="22"/>
          <w:szCs w:val="22"/>
        </w:rPr>
        <w:t>RRC signalling structure for simultaneous evaluation</w:t>
      </w:r>
      <w:r>
        <w:rPr>
          <w:sz w:val="22"/>
          <w:szCs w:val="22"/>
        </w:rPr>
        <w:t xml:space="preserve"> is in a two-level format. For each candidate PCell (level 1), the CHO execution condition and a container of a </w:t>
      </w:r>
      <w:r w:rsidRPr="00B6246E">
        <w:rPr>
          <w:i/>
          <w:iCs/>
          <w:sz w:val="22"/>
          <w:szCs w:val="22"/>
        </w:rPr>
        <w:t>RRCReconfiguration</w:t>
      </w:r>
      <w:r w:rsidRPr="00B6246E">
        <w:rPr>
          <w:sz w:val="22"/>
          <w:szCs w:val="22"/>
        </w:rPr>
        <w:t xml:space="preserve"> message</w:t>
      </w:r>
      <w:r>
        <w:rPr>
          <w:sz w:val="22"/>
          <w:szCs w:val="22"/>
        </w:rPr>
        <w:t xml:space="preserve"> are configured, meanwhile a list of candidate PSCells (corresponding to this candidate PCell) are also configured. For each candidate PSCell, </w:t>
      </w:r>
      <w:r w:rsidRPr="00A946C4">
        <w:rPr>
          <w:sz w:val="22"/>
          <w:szCs w:val="22"/>
        </w:rPr>
        <w:t>the information of frequency and PCI</w:t>
      </w:r>
      <w:r w:rsidR="00AF536E">
        <w:rPr>
          <w:sz w:val="22"/>
          <w:szCs w:val="22"/>
        </w:rPr>
        <w:t>,</w:t>
      </w:r>
      <w:r w:rsidRPr="00A946C4">
        <w:rPr>
          <w:sz w:val="22"/>
          <w:szCs w:val="22"/>
        </w:rPr>
        <w:t xml:space="preserve"> </w:t>
      </w:r>
      <w:r>
        <w:rPr>
          <w:sz w:val="22"/>
          <w:szCs w:val="22"/>
        </w:rPr>
        <w:t xml:space="preserve">and CPC execution condition are configured. In level 2, i.e., contained in the </w:t>
      </w:r>
      <w:r w:rsidRPr="00B6246E">
        <w:rPr>
          <w:i/>
          <w:iCs/>
          <w:sz w:val="22"/>
          <w:szCs w:val="22"/>
        </w:rPr>
        <w:t>RRCReconfiguration</w:t>
      </w:r>
      <w:r w:rsidRPr="00B6246E">
        <w:rPr>
          <w:sz w:val="22"/>
          <w:szCs w:val="22"/>
        </w:rPr>
        <w:t xml:space="preserve"> message</w:t>
      </w:r>
      <w:r>
        <w:rPr>
          <w:sz w:val="22"/>
          <w:szCs w:val="22"/>
        </w:rPr>
        <w:t xml:space="preserve"> of each candidate PCell, a</w:t>
      </w:r>
      <w:r w:rsidRPr="00A946C4">
        <w:rPr>
          <w:sz w:val="22"/>
          <w:szCs w:val="22"/>
        </w:rPr>
        <w:t xml:space="preserve"> list of configurations of candidate PSCells is </w:t>
      </w:r>
      <w:r>
        <w:rPr>
          <w:sz w:val="22"/>
          <w:szCs w:val="22"/>
        </w:rPr>
        <w:t>configured</w:t>
      </w:r>
      <w:r w:rsidRPr="00A946C4">
        <w:rPr>
          <w:sz w:val="22"/>
          <w:szCs w:val="22"/>
        </w:rPr>
        <w:t xml:space="preserve">, </w:t>
      </w:r>
      <w:r>
        <w:rPr>
          <w:sz w:val="22"/>
          <w:szCs w:val="22"/>
        </w:rPr>
        <w:t>and</w:t>
      </w:r>
      <w:r w:rsidRPr="00A946C4">
        <w:rPr>
          <w:sz w:val="22"/>
          <w:szCs w:val="22"/>
        </w:rPr>
        <w:t xml:space="preserve"> for each candidate PSCell</w:t>
      </w:r>
      <w:r w:rsidR="00D657B8">
        <w:rPr>
          <w:sz w:val="22"/>
          <w:szCs w:val="22"/>
        </w:rPr>
        <w:t>,</w:t>
      </w:r>
      <w:r w:rsidRPr="00A946C4">
        <w:rPr>
          <w:sz w:val="22"/>
          <w:szCs w:val="22"/>
        </w:rPr>
        <w:t xml:space="preserve"> the </w:t>
      </w:r>
      <w:r w:rsidRPr="00ED2157">
        <w:rPr>
          <w:i/>
          <w:iCs/>
          <w:sz w:val="22"/>
          <w:szCs w:val="22"/>
        </w:rPr>
        <w:t>RRCReconfiguration</w:t>
      </w:r>
      <w:r w:rsidRPr="00A946C4">
        <w:rPr>
          <w:sz w:val="22"/>
          <w:szCs w:val="22"/>
        </w:rPr>
        <w:t xml:space="preserve"> message contained in </w:t>
      </w:r>
      <w:r w:rsidRPr="00ED2157">
        <w:rPr>
          <w:i/>
          <w:iCs/>
          <w:sz w:val="22"/>
          <w:szCs w:val="22"/>
        </w:rPr>
        <w:t>condRRCReconfig</w:t>
      </w:r>
      <w:r w:rsidRPr="00A946C4">
        <w:rPr>
          <w:sz w:val="22"/>
          <w:szCs w:val="22"/>
        </w:rPr>
        <w:t xml:space="preserve"> is in MN format (i.e., it includes MCG configuration)</w:t>
      </w:r>
      <w:r w:rsidR="001E0C40">
        <w:rPr>
          <w:sz w:val="22"/>
          <w:szCs w:val="22"/>
        </w:rPr>
        <w:t>.</w:t>
      </w:r>
    </w:p>
    <w:p w14:paraId="6C6A8021" w14:textId="1260D201" w:rsidR="00A946C4" w:rsidRPr="001E0C40" w:rsidRDefault="00A946C4" w:rsidP="00451981">
      <w:pPr>
        <w:spacing w:before="120"/>
        <w:jc w:val="both"/>
        <w:rPr>
          <w:b/>
          <w:bCs/>
          <w:sz w:val="22"/>
          <w:szCs w:val="22"/>
        </w:rPr>
      </w:pPr>
      <w:r w:rsidRPr="001E0C40">
        <w:rPr>
          <w:b/>
          <w:bCs/>
          <w:sz w:val="22"/>
          <w:szCs w:val="22"/>
        </w:rPr>
        <w:t>Proposal 3: the RRC signalling structure for simultaneous evaluation is in a two-level format:</w:t>
      </w:r>
    </w:p>
    <w:p w14:paraId="04B770E2" w14:textId="77777777" w:rsidR="001E0C40" w:rsidRPr="001E0C40" w:rsidRDefault="00A946C4" w:rsidP="001E0C40">
      <w:pPr>
        <w:spacing w:before="120"/>
        <w:jc w:val="both"/>
        <w:rPr>
          <w:b/>
          <w:bCs/>
          <w:sz w:val="22"/>
          <w:szCs w:val="22"/>
        </w:rPr>
      </w:pPr>
      <w:r w:rsidRPr="001E0C40">
        <w:rPr>
          <w:b/>
          <w:bCs/>
          <w:sz w:val="22"/>
          <w:szCs w:val="22"/>
        </w:rPr>
        <w:t xml:space="preserve">In level 1, </w:t>
      </w:r>
      <w:r w:rsidR="001E0C40" w:rsidRPr="001E0C40">
        <w:rPr>
          <w:b/>
          <w:bCs/>
          <w:sz w:val="22"/>
          <w:szCs w:val="22"/>
        </w:rPr>
        <w:t>for each candidate PCell, the following configurations are provided:</w:t>
      </w:r>
    </w:p>
    <w:p w14:paraId="27653D8B" w14:textId="5E2B84DA" w:rsidR="00A946C4" w:rsidRPr="001E0C40" w:rsidRDefault="001E0C40" w:rsidP="001E0C40">
      <w:pPr>
        <w:pStyle w:val="ListParagraph"/>
        <w:numPr>
          <w:ilvl w:val="0"/>
          <w:numId w:val="19"/>
        </w:numPr>
        <w:spacing w:before="120"/>
        <w:jc w:val="both"/>
        <w:rPr>
          <w:b/>
          <w:bCs/>
          <w:sz w:val="22"/>
          <w:szCs w:val="22"/>
        </w:rPr>
      </w:pPr>
      <w:r w:rsidRPr="001E0C40">
        <w:rPr>
          <w:b/>
          <w:bCs/>
          <w:sz w:val="22"/>
          <w:szCs w:val="22"/>
        </w:rPr>
        <w:t>CHO execution condition and configuration of candidate PCell.</w:t>
      </w:r>
    </w:p>
    <w:p w14:paraId="16087F6A" w14:textId="23B20885" w:rsidR="001E0C40" w:rsidRPr="001E0C40" w:rsidRDefault="001E0C40" w:rsidP="001E0C40">
      <w:pPr>
        <w:pStyle w:val="ListParagraph"/>
        <w:numPr>
          <w:ilvl w:val="0"/>
          <w:numId w:val="19"/>
        </w:numPr>
        <w:spacing w:before="120"/>
        <w:jc w:val="both"/>
        <w:rPr>
          <w:b/>
          <w:bCs/>
          <w:sz w:val="22"/>
          <w:szCs w:val="22"/>
        </w:rPr>
      </w:pPr>
      <w:r w:rsidRPr="001E0C40">
        <w:rPr>
          <w:b/>
          <w:bCs/>
          <w:sz w:val="22"/>
          <w:szCs w:val="22"/>
        </w:rPr>
        <w:lastRenderedPageBreak/>
        <w:t xml:space="preserve">A list of </w:t>
      </w:r>
      <w:r w:rsidR="00177E83">
        <w:rPr>
          <w:b/>
          <w:bCs/>
          <w:sz w:val="22"/>
          <w:szCs w:val="22"/>
        </w:rPr>
        <w:t xml:space="preserve">execution conditions of </w:t>
      </w:r>
      <w:r w:rsidRPr="001E0C40">
        <w:rPr>
          <w:b/>
          <w:bCs/>
          <w:sz w:val="22"/>
          <w:szCs w:val="22"/>
        </w:rPr>
        <w:t>candidate PSCells (corresponding to this candidate PCell). For each candidate PSCell, the information of frequency and PCI and CPC execution condition are configured.</w:t>
      </w:r>
    </w:p>
    <w:p w14:paraId="6C866CB4" w14:textId="77777777" w:rsidR="001E0C40" w:rsidRPr="001E0C40" w:rsidRDefault="001E0C40" w:rsidP="001E0C40">
      <w:pPr>
        <w:spacing w:before="120"/>
        <w:jc w:val="both"/>
        <w:rPr>
          <w:b/>
          <w:bCs/>
          <w:sz w:val="22"/>
          <w:szCs w:val="22"/>
        </w:rPr>
      </w:pPr>
      <w:r w:rsidRPr="001E0C40">
        <w:rPr>
          <w:b/>
          <w:bCs/>
          <w:sz w:val="22"/>
          <w:szCs w:val="22"/>
        </w:rPr>
        <w:t xml:space="preserve">In level 2, i.e., contained in the </w:t>
      </w:r>
      <w:r w:rsidRPr="001E0C40">
        <w:rPr>
          <w:b/>
          <w:bCs/>
          <w:i/>
          <w:iCs/>
          <w:sz w:val="22"/>
          <w:szCs w:val="22"/>
        </w:rPr>
        <w:t>RRCReconfiguration</w:t>
      </w:r>
      <w:r w:rsidRPr="001E0C40">
        <w:rPr>
          <w:b/>
          <w:bCs/>
          <w:sz w:val="22"/>
          <w:szCs w:val="22"/>
        </w:rPr>
        <w:t xml:space="preserve"> message of each candidate PCell, the following configurations are provided:</w:t>
      </w:r>
    </w:p>
    <w:p w14:paraId="6123B177" w14:textId="66057B75" w:rsidR="001E0C40" w:rsidRPr="001E0C40" w:rsidRDefault="001E0C40" w:rsidP="001E0C40">
      <w:pPr>
        <w:pStyle w:val="ListParagraph"/>
        <w:numPr>
          <w:ilvl w:val="0"/>
          <w:numId w:val="20"/>
        </w:numPr>
        <w:spacing w:before="120"/>
        <w:jc w:val="both"/>
        <w:rPr>
          <w:b/>
          <w:bCs/>
          <w:sz w:val="22"/>
          <w:szCs w:val="22"/>
        </w:rPr>
      </w:pPr>
      <w:r w:rsidRPr="001E0C40">
        <w:rPr>
          <w:b/>
          <w:bCs/>
          <w:sz w:val="22"/>
          <w:szCs w:val="22"/>
        </w:rPr>
        <w:t>a list of configurations of candidate PSCells</w:t>
      </w:r>
      <w:r>
        <w:rPr>
          <w:b/>
          <w:bCs/>
          <w:sz w:val="22"/>
          <w:szCs w:val="22"/>
        </w:rPr>
        <w:t>.</w:t>
      </w:r>
      <w:r w:rsidRPr="001E0C40">
        <w:rPr>
          <w:b/>
          <w:bCs/>
          <w:sz w:val="22"/>
          <w:szCs w:val="22"/>
        </w:rPr>
        <w:t xml:space="preserve"> </w:t>
      </w:r>
      <w:r>
        <w:rPr>
          <w:b/>
          <w:bCs/>
          <w:sz w:val="22"/>
          <w:szCs w:val="22"/>
        </w:rPr>
        <w:t>A</w:t>
      </w:r>
      <w:r w:rsidRPr="001E0C40">
        <w:rPr>
          <w:b/>
          <w:bCs/>
          <w:sz w:val="22"/>
          <w:szCs w:val="22"/>
        </w:rPr>
        <w:t xml:space="preserve">nd for each candidate PSCell the </w:t>
      </w:r>
      <w:r w:rsidRPr="001E0C40">
        <w:rPr>
          <w:b/>
          <w:bCs/>
          <w:i/>
          <w:iCs/>
          <w:sz w:val="22"/>
          <w:szCs w:val="22"/>
        </w:rPr>
        <w:t>RRCReconfiguration</w:t>
      </w:r>
      <w:r w:rsidRPr="001E0C40">
        <w:rPr>
          <w:b/>
          <w:bCs/>
          <w:sz w:val="22"/>
          <w:szCs w:val="22"/>
        </w:rPr>
        <w:t xml:space="preserve"> message contained in </w:t>
      </w:r>
      <w:r w:rsidRPr="001E0C40">
        <w:rPr>
          <w:b/>
          <w:bCs/>
          <w:i/>
          <w:iCs/>
          <w:sz w:val="22"/>
          <w:szCs w:val="22"/>
        </w:rPr>
        <w:t>condRRCReconfig</w:t>
      </w:r>
      <w:r w:rsidRPr="001E0C40">
        <w:rPr>
          <w:b/>
          <w:bCs/>
          <w:sz w:val="22"/>
          <w:szCs w:val="22"/>
        </w:rPr>
        <w:t xml:space="preserve"> is in MN format.</w:t>
      </w:r>
    </w:p>
    <w:p w14:paraId="4B193E0B" w14:textId="77777777" w:rsidR="00D27AB1" w:rsidRDefault="00D27AB1" w:rsidP="00AC5C1D">
      <w:pPr>
        <w:jc w:val="both"/>
        <w:rPr>
          <w:b/>
          <w:bCs/>
          <w:sz w:val="22"/>
          <w:szCs w:val="22"/>
          <w:u w:val="single"/>
        </w:rPr>
      </w:pPr>
    </w:p>
    <w:p w14:paraId="571A6ABE" w14:textId="57D7857F" w:rsidR="00D27AB1" w:rsidRPr="006D3F66" w:rsidRDefault="00D27AB1" w:rsidP="00D27AB1">
      <w:pPr>
        <w:pStyle w:val="Heading3"/>
        <w:spacing w:after="120"/>
        <w:rPr>
          <w:rFonts w:ascii="Arial" w:hAnsi="Arial" w:cs="Arial"/>
          <w:color w:val="auto"/>
          <w:sz w:val="28"/>
          <w:szCs w:val="28"/>
        </w:rPr>
      </w:pPr>
      <w:r w:rsidRPr="006D3F66">
        <w:rPr>
          <w:rFonts w:ascii="Arial" w:hAnsi="Arial" w:cs="Arial"/>
          <w:color w:val="auto"/>
          <w:sz w:val="28"/>
          <w:szCs w:val="28"/>
        </w:rPr>
        <w:t>2.1.</w:t>
      </w:r>
      <w:r>
        <w:rPr>
          <w:rFonts w:ascii="Arial" w:hAnsi="Arial" w:cs="Arial"/>
          <w:color w:val="auto"/>
          <w:sz w:val="28"/>
          <w:szCs w:val="28"/>
        </w:rPr>
        <w:t>3</w:t>
      </w:r>
      <w:r w:rsidRPr="006D3F66">
        <w:rPr>
          <w:rFonts w:ascii="Arial" w:hAnsi="Arial" w:cs="Arial"/>
          <w:color w:val="auto"/>
          <w:sz w:val="28"/>
          <w:szCs w:val="28"/>
        </w:rPr>
        <w:t xml:space="preserve"> </w:t>
      </w:r>
      <w:r>
        <w:rPr>
          <w:rFonts w:ascii="Arial" w:hAnsi="Arial" w:cs="Arial"/>
          <w:color w:val="auto"/>
          <w:sz w:val="28"/>
          <w:szCs w:val="28"/>
        </w:rPr>
        <w:t>UE behaviour</w:t>
      </w:r>
    </w:p>
    <w:p w14:paraId="74C2934E" w14:textId="7B61CAC2" w:rsidR="00D27AB1" w:rsidRPr="00F8339D" w:rsidRDefault="00066562" w:rsidP="00AC5C1D">
      <w:pPr>
        <w:jc w:val="both"/>
        <w:rPr>
          <w:sz w:val="22"/>
          <w:szCs w:val="22"/>
        </w:rPr>
      </w:pPr>
      <w:r w:rsidRPr="00F8339D">
        <w:rPr>
          <w:sz w:val="22"/>
          <w:szCs w:val="22"/>
        </w:rPr>
        <w:t xml:space="preserve">Since simultaneous evaluation of CHO and CPC is agreed, UE should perform measurements of candidate PCell and candidate PSCells at the same time. The issue that needs to be clarified is in the execution phase. Considering we have two execution conditions, i.e., one for CHO, and the other one for CPC, there are </w:t>
      </w:r>
      <w:r w:rsidR="0038659F" w:rsidRPr="00F8339D">
        <w:rPr>
          <w:sz w:val="22"/>
          <w:szCs w:val="22"/>
        </w:rPr>
        <w:t xml:space="preserve">4 </w:t>
      </w:r>
      <w:r w:rsidRPr="00F8339D">
        <w:rPr>
          <w:sz w:val="22"/>
          <w:szCs w:val="22"/>
        </w:rPr>
        <w:t xml:space="preserve">cases for discussion. And our </w:t>
      </w:r>
      <w:r w:rsidR="00ED2157" w:rsidRPr="00F8339D">
        <w:rPr>
          <w:sz w:val="22"/>
          <w:szCs w:val="22"/>
        </w:rPr>
        <w:t>understandings</w:t>
      </w:r>
      <w:r w:rsidRPr="00F8339D">
        <w:rPr>
          <w:sz w:val="22"/>
          <w:szCs w:val="22"/>
        </w:rPr>
        <w:t xml:space="preserve"> are shown in Table 1.</w:t>
      </w:r>
    </w:p>
    <w:p w14:paraId="01451AB8" w14:textId="02542247" w:rsidR="00066562" w:rsidRPr="00F8339D" w:rsidRDefault="00066562" w:rsidP="00066562">
      <w:pPr>
        <w:jc w:val="center"/>
        <w:rPr>
          <w:b/>
          <w:bCs/>
          <w:sz w:val="22"/>
          <w:szCs w:val="22"/>
        </w:rPr>
      </w:pPr>
      <w:r w:rsidRPr="00F8339D">
        <w:rPr>
          <w:b/>
          <w:bCs/>
          <w:sz w:val="22"/>
          <w:szCs w:val="22"/>
        </w:rPr>
        <w:t>Table 1 UE behaviour in execution phase of CHO including CPC</w:t>
      </w:r>
    </w:p>
    <w:tbl>
      <w:tblPr>
        <w:tblStyle w:val="TableGrid"/>
        <w:tblW w:w="0" w:type="auto"/>
        <w:tblLook w:val="04A0" w:firstRow="1" w:lastRow="0" w:firstColumn="1" w:lastColumn="0" w:noHBand="0" w:noVBand="1"/>
      </w:tblPr>
      <w:tblGrid>
        <w:gridCol w:w="707"/>
        <w:gridCol w:w="1077"/>
        <w:gridCol w:w="1062"/>
        <w:gridCol w:w="6170"/>
      </w:tblGrid>
      <w:tr w:rsidR="00066562" w14:paraId="677E4DC7" w14:textId="77777777" w:rsidTr="00532162">
        <w:tc>
          <w:tcPr>
            <w:tcW w:w="714" w:type="dxa"/>
          </w:tcPr>
          <w:p w14:paraId="005745AD" w14:textId="77777777" w:rsidR="00066562" w:rsidRPr="00F8339D" w:rsidRDefault="00066562" w:rsidP="00532162">
            <w:pPr>
              <w:rPr>
                <w:sz w:val="22"/>
                <w:szCs w:val="22"/>
              </w:rPr>
            </w:pPr>
            <w:r w:rsidRPr="00F8339D">
              <w:rPr>
                <w:sz w:val="22"/>
                <w:szCs w:val="22"/>
              </w:rPr>
              <w:t>Case</w:t>
            </w:r>
          </w:p>
        </w:tc>
        <w:tc>
          <w:tcPr>
            <w:tcW w:w="1080" w:type="dxa"/>
          </w:tcPr>
          <w:p w14:paraId="2F18BBD1" w14:textId="77777777" w:rsidR="00066562" w:rsidRPr="00F8339D" w:rsidRDefault="00066562" w:rsidP="00532162">
            <w:pPr>
              <w:rPr>
                <w:sz w:val="22"/>
                <w:szCs w:val="22"/>
              </w:rPr>
            </w:pPr>
            <w:r w:rsidRPr="00F8339D">
              <w:rPr>
                <w:sz w:val="22"/>
                <w:szCs w:val="22"/>
              </w:rPr>
              <w:t>Whether CHO condition is met</w:t>
            </w:r>
          </w:p>
        </w:tc>
        <w:tc>
          <w:tcPr>
            <w:tcW w:w="1063" w:type="dxa"/>
          </w:tcPr>
          <w:p w14:paraId="62E9FCB8" w14:textId="77777777" w:rsidR="00066562" w:rsidRPr="00F8339D" w:rsidRDefault="00066562" w:rsidP="00532162">
            <w:pPr>
              <w:rPr>
                <w:sz w:val="22"/>
                <w:szCs w:val="22"/>
              </w:rPr>
            </w:pPr>
            <w:r w:rsidRPr="00F8339D">
              <w:rPr>
                <w:sz w:val="22"/>
                <w:szCs w:val="22"/>
              </w:rPr>
              <w:t>Whether CPC condition is met</w:t>
            </w:r>
          </w:p>
        </w:tc>
        <w:tc>
          <w:tcPr>
            <w:tcW w:w="6493" w:type="dxa"/>
          </w:tcPr>
          <w:p w14:paraId="4591051F" w14:textId="3714422D" w:rsidR="00066562" w:rsidRPr="00F8339D" w:rsidRDefault="00066562" w:rsidP="00532162">
            <w:pPr>
              <w:rPr>
                <w:sz w:val="22"/>
                <w:szCs w:val="22"/>
              </w:rPr>
            </w:pPr>
            <w:r w:rsidRPr="00F8339D">
              <w:rPr>
                <w:sz w:val="22"/>
                <w:szCs w:val="22"/>
              </w:rPr>
              <w:t>UE behaviour</w:t>
            </w:r>
          </w:p>
        </w:tc>
      </w:tr>
      <w:tr w:rsidR="00066562" w14:paraId="7F6083A8" w14:textId="77777777" w:rsidTr="00532162">
        <w:tc>
          <w:tcPr>
            <w:tcW w:w="714" w:type="dxa"/>
          </w:tcPr>
          <w:p w14:paraId="737AAB20" w14:textId="77777777" w:rsidR="00066562" w:rsidRPr="00F8339D" w:rsidRDefault="00066562" w:rsidP="00532162">
            <w:pPr>
              <w:rPr>
                <w:sz w:val="22"/>
                <w:szCs w:val="22"/>
              </w:rPr>
            </w:pPr>
            <w:r w:rsidRPr="00F8339D">
              <w:rPr>
                <w:sz w:val="22"/>
                <w:szCs w:val="22"/>
              </w:rPr>
              <w:t>1</w:t>
            </w:r>
          </w:p>
        </w:tc>
        <w:tc>
          <w:tcPr>
            <w:tcW w:w="1080" w:type="dxa"/>
          </w:tcPr>
          <w:p w14:paraId="4403D0AD" w14:textId="77777777" w:rsidR="00066562" w:rsidRPr="00F8339D" w:rsidRDefault="00066562" w:rsidP="00532162">
            <w:pPr>
              <w:rPr>
                <w:sz w:val="22"/>
                <w:szCs w:val="22"/>
              </w:rPr>
            </w:pPr>
            <w:r w:rsidRPr="00F8339D">
              <w:rPr>
                <w:sz w:val="22"/>
                <w:szCs w:val="22"/>
              </w:rPr>
              <w:t>Y</w:t>
            </w:r>
          </w:p>
        </w:tc>
        <w:tc>
          <w:tcPr>
            <w:tcW w:w="1063" w:type="dxa"/>
          </w:tcPr>
          <w:p w14:paraId="616965F8" w14:textId="77777777" w:rsidR="00066562" w:rsidRPr="00F8339D" w:rsidRDefault="00066562" w:rsidP="00532162">
            <w:pPr>
              <w:rPr>
                <w:sz w:val="22"/>
                <w:szCs w:val="22"/>
              </w:rPr>
            </w:pPr>
            <w:r w:rsidRPr="00F8339D">
              <w:rPr>
                <w:sz w:val="22"/>
                <w:szCs w:val="22"/>
              </w:rPr>
              <w:t>Y</w:t>
            </w:r>
          </w:p>
        </w:tc>
        <w:tc>
          <w:tcPr>
            <w:tcW w:w="6493" w:type="dxa"/>
          </w:tcPr>
          <w:p w14:paraId="13F5EEC2" w14:textId="31A950A4" w:rsidR="00066562" w:rsidRPr="00F8339D" w:rsidRDefault="00066562" w:rsidP="00532162">
            <w:pPr>
              <w:rPr>
                <w:sz w:val="22"/>
                <w:szCs w:val="22"/>
              </w:rPr>
            </w:pPr>
            <w:r w:rsidRPr="00F8339D">
              <w:rPr>
                <w:rFonts w:eastAsia="SimSun"/>
                <w:sz w:val="22"/>
                <w:szCs w:val="22"/>
              </w:rPr>
              <w:t xml:space="preserve">The UE applies </w:t>
            </w:r>
            <w:bookmarkStart w:id="5" w:name="_Hlk130393255"/>
            <w:r w:rsidRPr="00F8339D">
              <w:rPr>
                <w:rFonts w:eastAsia="SimSun"/>
                <w:i/>
                <w:sz w:val="22"/>
                <w:szCs w:val="22"/>
              </w:rPr>
              <w:t>RRCReconfiguration*</w:t>
            </w:r>
            <w:r w:rsidRPr="00F8339D">
              <w:rPr>
                <w:rFonts w:eastAsia="SimSun"/>
                <w:sz w:val="22"/>
                <w:szCs w:val="22"/>
              </w:rPr>
              <w:t xml:space="preserve"> message corresponding to the selected candidate PCell, and sends an MN </w:t>
            </w:r>
            <w:r w:rsidRPr="00F8339D">
              <w:rPr>
                <w:rFonts w:eastAsia="SimSun"/>
                <w:i/>
                <w:sz w:val="22"/>
                <w:szCs w:val="22"/>
              </w:rPr>
              <w:t>RRCReconfigurationComplete*</w:t>
            </w:r>
            <w:r w:rsidRPr="00F8339D">
              <w:rPr>
                <w:rFonts w:eastAsia="SimSun"/>
                <w:sz w:val="22"/>
                <w:szCs w:val="22"/>
              </w:rPr>
              <w:t xml:space="preserve"> message, including an NR </w:t>
            </w:r>
            <w:r w:rsidRPr="00F8339D">
              <w:rPr>
                <w:rFonts w:eastAsia="SimSun"/>
                <w:i/>
                <w:iCs/>
                <w:sz w:val="22"/>
                <w:szCs w:val="22"/>
              </w:rPr>
              <w:t>RRCReconfigurationComplete</w:t>
            </w:r>
            <w:r w:rsidRPr="00F8339D">
              <w:rPr>
                <w:rFonts w:eastAsia="SimSun"/>
                <w:sz w:val="22"/>
                <w:szCs w:val="22"/>
              </w:rPr>
              <w:t>** message for the selected candidate PSCell (MN forwards it to SN later).</w:t>
            </w:r>
          </w:p>
          <w:bookmarkEnd w:id="5"/>
          <w:p w14:paraId="5CD55667" w14:textId="4DFBBC94" w:rsidR="00066562" w:rsidRPr="00F8339D" w:rsidRDefault="00066562" w:rsidP="00532162">
            <w:pPr>
              <w:rPr>
                <w:sz w:val="22"/>
                <w:szCs w:val="22"/>
              </w:rPr>
            </w:pPr>
            <w:r w:rsidRPr="00F8339D">
              <w:rPr>
                <w:sz w:val="22"/>
                <w:szCs w:val="22"/>
              </w:rPr>
              <w:t>The Random Access procedure towards the target PSCell is after successful RACH towards target PCell.</w:t>
            </w:r>
          </w:p>
        </w:tc>
      </w:tr>
      <w:tr w:rsidR="00066562" w14:paraId="648FEEF1" w14:textId="77777777" w:rsidTr="00532162">
        <w:tc>
          <w:tcPr>
            <w:tcW w:w="714" w:type="dxa"/>
          </w:tcPr>
          <w:p w14:paraId="34A7C6DB" w14:textId="77777777" w:rsidR="00066562" w:rsidRPr="00F8339D" w:rsidRDefault="00066562" w:rsidP="00532162">
            <w:pPr>
              <w:rPr>
                <w:sz w:val="22"/>
                <w:szCs w:val="22"/>
              </w:rPr>
            </w:pPr>
            <w:r w:rsidRPr="00F8339D">
              <w:rPr>
                <w:sz w:val="22"/>
                <w:szCs w:val="22"/>
              </w:rPr>
              <w:t>2</w:t>
            </w:r>
          </w:p>
        </w:tc>
        <w:tc>
          <w:tcPr>
            <w:tcW w:w="1080" w:type="dxa"/>
          </w:tcPr>
          <w:p w14:paraId="23849F18" w14:textId="77777777" w:rsidR="00066562" w:rsidRPr="00F8339D" w:rsidRDefault="00066562" w:rsidP="00532162">
            <w:pPr>
              <w:rPr>
                <w:sz w:val="22"/>
                <w:szCs w:val="22"/>
              </w:rPr>
            </w:pPr>
            <w:r w:rsidRPr="00F8339D">
              <w:rPr>
                <w:sz w:val="22"/>
                <w:szCs w:val="22"/>
              </w:rPr>
              <w:t>Y</w:t>
            </w:r>
          </w:p>
        </w:tc>
        <w:tc>
          <w:tcPr>
            <w:tcW w:w="1063" w:type="dxa"/>
          </w:tcPr>
          <w:p w14:paraId="31D825E6" w14:textId="77777777" w:rsidR="00066562" w:rsidRPr="00F8339D" w:rsidRDefault="00066562" w:rsidP="00532162">
            <w:pPr>
              <w:rPr>
                <w:sz w:val="22"/>
                <w:szCs w:val="22"/>
              </w:rPr>
            </w:pPr>
            <w:r w:rsidRPr="00F8339D">
              <w:rPr>
                <w:sz w:val="22"/>
                <w:szCs w:val="22"/>
              </w:rPr>
              <w:t>N</w:t>
            </w:r>
          </w:p>
        </w:tc>
        <w:tc>
          <w:tcPr>
            <w:tcW w:w="6493" w:type="dxa"/>
          </w:tcPr>
          <w:p w14:paraId="33857CF7" w14:textId="4761910F" w:rsidR="00B666ED" w:rsidRPr="00F8339D" w:rsidRDefault="00B666ED" w:rsidP="00532162">
            <w:pPr>
              <w:rPr>
                <w:sz w:val="22"/>
                <w:szCs w:val="22"/>
              </w:rPr>
            </w:pPr>
            <w:r w:rsidRPr="00F8339D">
              <w:rPr>
                <w:sz w:val="22"/>
                <w:szCs w:val="22"/>
              </w:rPr>
              <w:t>There are three options for further discussion.</w:t>
            </w:r>
          </w:p>
          <w:p w14:paraId="5F7A3785" w14:textId="018357B0" w:rsidR="00B666ED" w:rsidRPr="00F8339D" w:rsidRDefault="00B666ED" w:rsidP="00532162">
            <w:pPr>
              <w:rPr>
                <w:sz w:val="22"/>
                <w:szCs w:val="22"/>
              </w:rPr>
            </w:pPr>
            <w:r w:rsidRPr="00F8339D">
              <w:rPr>
                <w:sz w:val="22"/>
                <w:szCs w:val="22"/>
              </w:rPr>
              <w:t xml:space="preserve">Option 1: CHO is executed, but CPC is not executed. It’s up to target MN </w:t>
            </w:r>
            <w:r w:rsidR="00055498" w:rsidRPr="00F8339D">
              <w:rPr>
                <w:sz w:val="22"/>
                <w:szCs w:val="22"/>
              </w:rPr>
              <w:t xml:space="preserve">whether </w:t>
            </w:r>
            <w:r w:rsidRPr="00F8339D">
              <w:rPr>
                <w:sz w:val="22"/>
                <w:szCs w:val="22"/>
              </w:rPr>
              <w:t xml:space="preserve">to indicate a </w:t>
            </w:r>
            <w:r w:rsidRPr="00F8339D">
              <w:rPr>
                <w:rFonts w:eastAsia="Calibri"/>
                <w:i/>
                <w:sz w:val="22"/>
                <w:szCs w:val="22"/>
                <w:lang w:eastAsia="sv-SE"/>
              </w:rPr>
              <w:t xml:space="preserve">ReconfWithSync for SCG </w:t>
            </w:r>
            <w:r w:rsidRPr="00F8339D">
              <w:rPr>
                <w:rFonts w:eastAsia="Calibri"/>
                <w:iCs/>
                <w:sz w:val="22"/>
                <w:szCs w:val="22"/>
                <w:lang w:eastAsia="sv-SE"/>
              </w:rPr>
              <w:t>as there is MN key change</w:t>
            </w:r>
            <w:r w:rsidR="009709D1" w:rsidRPr="00F8339D">
              <w:rPr>
                <w:rFonts w:eastAsia="Calibri"/>
                <w:iCs/>
                <w:sz w:val="22"/>
                <w:szCs w:val="22"/>
                <w:lang w:eastAsia="sv-SE"/>
              </w:rPr>
              <w:t>,</w:t>
            </w:r>
            <w:r w:rsidRPr="00F8339D">
              <w:rPr>
                <w:rFonts w:eastAsia="Calibri"/>
                <w:iCs/>
                <w:sz w:val="22"/>
                <w:szCs w:val="22"/>
                <w:lang w:eastAsia="sv-SE"/>
              </w:rPr>
              <w:t xml:space="preserve"> </w:t>
            </w:r>
            <w:r w:rsidR="009709D1" w:rsidRPr="00F8339D">
              <w:rPr>
                <w:rFonts w:eastAsia="Calibri"/>
                <w:iCs/>
                <w:sz w:val="22"/>
                <w:szCs w:val="22"/>
                <w:lang w:eastAsia="sv-SE"/>
              </w:rPr>
              <w:t>a</w:t>
            </w:r>
            <w:r w:rsidRPr="00F8339D">
              <w:rPr>
                <w:rFonts w:eastAsia="Calibri"/>
                <w:iCs/>
                <w:sz w:val="22"/>
                <w:szCs w:val="22"/>
                <w:lang w:eastAsia="sv-SE"/>
              </w:rPr>
              <w:t>nd UE continues evaluation of CPC conditions.</w:t>
            </w:r>
            <w:r w:rsidR="00E93E7C" w:rsidRPr="00F8339D">
              <w:rPr>
                <w:rFonts w:eastAsia="Calibri"/>
                <w:iCs/>
                <w:sz w:val="22"/>
                <w:szCs w:val="22"/>
                <w:lang w:eastAsia="sv-SE"/>
              </w:rPr>
              <w:t xml:space="preserve"> It’s also possible to release the source SCG by target MN.</w:t>
            </w:r>
          </w:p>
          <w:p w14:paraId="4C32BBA6" w14:textId="03A26D23" w:rsidR="00066562" w:rsidRPr="00F8339D" w:rsidRDefault="00394DDA" w:rsidP="00532162">
            <w:pPr>
              <w:rPr>
                <w:sz w:val="22"/>
                <w:szCs w:val="22"/>
              </w:rPr>
            </w:pPr>
            <w:r w:rsidRPr="00F8339D">
              <w:rPr>
                <w:sz w:val="22"/>
                <w:szCs w:val="22"/>
              </w:rPr>
              <w:t xml:space="preserve">Option 2: </w:t>
            </w:r>
            <w:r w:rsidR="00B666ED" w:rsidRPr="00F8339D">
              <w:rPr>
                <w:sz w:val="22"/>
                <w:szCs w:val="22"/>
              </w:rPr>
              <w:t xml:space="preserve">CHO and CPC are both executed. </w:t>
            </w:r>
            <w:r w:rsidRPr="00F8339D">
              <w:rPr>
                <w:sz w:val="22"/>
                <w:szCs w:val="22"/>
              </w:rPr>
              <w:t xml:space="preserve">UE selects a candidate PSCell, and executes </w:t>
            </w:r>
            <w:r w:rsidR="00066562" w:rsidRPr="00F8339D">
              <w:rPr>
                <w:sz w:val="22"/>
                <w:szCs w:val="22"/>
              </w:rPr>
              <w:t>PSCell change</w:t>
            </w:r>
            <w:r w:rsidR="00B666ED" w:rsidRPr="00F8339D">
              <w:rPr>
                <w:sz w:val="22"/>
                <w:szCs w:val="22"/>
              </w:rPr>
              <w:t xml:space="preserve"> anyway.</w:t>
            </w:r>
            <w:r w:rsidR="00066562" w:rsidRPr="00F8339D">
              <w:rPr>
                <w:sz w:val="22"/>
                <w:szCs w:val="22"/>
              </w:rPr>
              <w:t xml:space="preserve"> </w:t>
            </w:r>
            <w:r w:rsidR="00B666ED" w:rsidRPr="00F8339D">
              <w:rPr>
                <w:sz w:val="22"/>
                <w:szCs w:val="22"/>
              </w:rPr>
              <w:t>B</w:t>
            </w:r>
            <w:r w:rsidR="00066562" w:rsidRPr="00F8339D">
              <w:rPr>
                <w:sz w:val="22"/>
                <w:szCs w:val="22"/>
              </w:rPr>
              <w:t xml:space="preserve">ut </w:t>
            </w:r>
            <w:r w:rsidR="00B666ED" w:rsidRPr="00F8339D">
              <w:rPr>
                <w:sz w:val="22"/>
                <w:szCs w:val="22"/>
              </w:rPr>
              <w:t>the target SCG</w:t>
            </w:r>
            <w:r w:rsidR="00066562" w:rsidRPr="00F8339D">
              <w:rPr>
                <w:sz w:val="22"/>
                <w:szCs w:val="22"/>
              </w:rPr>
              <w:t xml:space="preserve"> is in deactivated state</w:t>
            </w:r>
            <w:r w:rsidR="00B666ED" w:rsidRPr="00F8339D">
              <w:rPr>
                <w:sz w:val="22"/>
                <w:szCs w:val="22"/>
              </w:rPr>
              <w:t>.</w:t>
            </w:r>
          </w:p>
          <w:p w14:paraId="4774BD53" w14:textId="05A7F574" w:rsidR="00394DDA" w:rsidRPr="00F8339D" w:rsidRDefault="00394DDA" w:rsidP="00532162">
            <w:pPr>
              <w:rPr>
                <w:sz w:val="22"/>
                <w:szCs w:val="22"/>
              </w:rPr>
            </w:pPr>
            <w:r w:rsidRPr="00F8339D">
              <w:rPr>
                <w:sz w:val="22"/>
                <w:szCs w:val="22"/>
              </w:rPr>
              <w:t>Option 3: CHO isn’t executed until CPC condition is met.</w:t>
            </w:r>
          </w:p>
        </w:tc>
      </w:tr>
      <w:tr w:rsidR="00066562" w14:paraId="0FDD9165" w14:textId="77777777" w:rsidTr="00532162">
        <w:tc>
          <w:tcPr>
            <w:tcW w:w="714" w:type="dxa"/>
          </w:tcPr>
          <w:p w14:paraId="00CE92EF" w14:textId="77777777" w:rsidR="00066562" w:rsidRPr="00F8339D" w:rsidRDefault="00066562" w:rsidP="00532162">
            <w:pPr>
              <w:rPr>
                <w:sz w:val="22"/>
                <w:szCs w:val="22"/>
              </w:rPr>
            </w:pPr>
            <w:r w:rsidRPr="00F8339D">
              <w:rPr>
                <w:sz w:val="22"/>
                <w:szCs w:val="22"/>
              </w:rPr>
              <w:t>3</w:t>
            </w:r>
          </w:p>
        </w:tc>
        <w:tc>
          <w:tcPr>
            <w:tcW w:w="1080" w:type="dxa"/>
          </w:tcPr>
          <w:p w14:paraId="0FE78636" w14:textId="77777777" w:rsidR="00066562" w:rsidRPr="00F8339D" w:rsidRDefault="00066562" w:rsidP="00532162">
            <w:pPr>
              <w:rPr>
                <w:sz w:val="22"/>
                <w:szCs w:val="22"/>
              </w:rPr>
            </w:pPr>
            <w:r w:rsidRPr="00F8339D">
              <w:rPr>
                <w:sz w:val="22"/>
                <w:szCs w:val="22"/>
              </w:rPr>
              <w:t>N</w:t>
            </w:r>
          </w:p>
        </w:tc>
        <w:tc>
          <w:tcPr>
            <w:tcW w:w="1063" w:type="dxa"/>
          </w:tcPr>
          <w:p w14:paraId="40147F9D" w14:textId="77777777" w:rsidR="00066562" w:rsidRPr="00F8339D" w:rsidRDefault="00066562" w:rsidP="00532162">
            <w:pPr>
              <w:rPr>
                <w:sz w:val="22"/>
                <w:szCs w:val="22"/>
              </w:rPr>
            </w:pPr>
            <w:r w:rsidRPr="00F8339D">
              <w:rPr>
                <w:sz w:val="22"/>
                <w:szCs w:val="22"/>
              </w:rPr>
              <w:t>Y</w:t>
            </w:r>
          </w:p>
        </w:tc>
        <w:tc>
          <w:tcPr>
            <w:tcW w:w="6493" w:type="dxa"/>
          </w:tcPr>
          <w:p w14:paraId="6D707FA3" w14:textId="2EAE693F" w:rsidR="00066562" w:rsidRPr="00F8339D" w:rsidRDefault="00066562" w:rsidP="00532162">
            <w:pPr>
              <w:rPr>
                <w:sz w:val="22"/>
                <w:szCs w:val="22"/>
              </w:rPr>
            </w:pPr>
            <w:r w:rsidRPr="00F8339D">
              <w:rPr>
                <w:sz w:val="22"/>
                <w:szCs w:val="22"/>
              </w:rPr>
              <w:t>The UE continues simultaneous evaluation of CHO and CPC, according to the agreement “the UE doesn’t execute CPC/CPA unless CHO condition is fulfilled”.</w:t>
            </w:r>
          </w:p>
        </w:tc>
      </w:tr>
      <w:tr w:rsidR="00066562" w14:paraId="4474A1D9" w14:textId="77777777" w:rsidTr="00532162">
        <w:tc>
          <w:tcPr>
            <w:tcW w:w="714" w:type="dxa"/>
          </w:tcPr>
          <w:p w14:paraId="421F88DD" w14:textId="77777777" w:rsidR="00066562" w:rsidRPr="00F8339D" w:rsidRDefault="00066562" w:rsidP="00532162">
            <w:pPr>
              <w:rPr>
                <w:sz w:val="22"/>
                <w:szCs w:val="22"/>
              </w:rPr>
            </w:pPr>
            <w:r w:rsidRPr="00F8339D">
              <w:rPr>
                <w:sz w:val="22"/>
                <w:szCs w:val="22"/>
              </w:rPr>
              <w:t>4</w:t>
            </w:r>
          </w:p>
        </w:tc>
        <w:tc>
          <w:tcPr>
            <w:tcW w:w="1080" w:type="dxa"/>
          </w:tcPr>
          <w:p w14:paraId="4ED25077" w14:textId="77777777" w:rsidR="00066562" w:rsidRPr="00F8339D" w:rsidRDefault="00066562" w:rsidP="00532162">
            <w:pPr>
              <w:rPr>
                <w:sz w:val="22"/>
                <w:szCs w:val="22"/>
              </w:rPr>
            </w:pPr>
            <w:r w:rsidRPr="00F8339D">
              <w:rPr>
                <w:sz w:val="22"/>
                <w:szCs w:val="22"/>
              </w:rPr>
              <w:t>N</w:t>
            </w:r>
          </w:p>
        </w:tc>
        <w:tc>
          <w:tcPr>
            <w:tcW w:w="1063" w:type="dxa"/>
          </w:tcPr>
          <w:p w14:paraId="7565B853" w14:textId="77777777" w:rsidR="00066562" w:rsidRPr="00F8339D" w:rsidRDefault="00066562" w:rsidP="00532162">
            <w:pPr>
              <w:rPr>
                <w:sz w:val="22"/>
                <w:szCs w:val="22"/>
              </w:rPr>
            </w:pPr>
            <w:r w:rsidRPr="00F8339D">
              <w:rPr>
                <w:sz w:val="22"/>
                <w:szCs w:val="22"/>
              </w:rPr>
              <w:t>N</w:t>
            </w:r>
          </w:p>
        </w:tc>
        <w:tc>
          <w:tcPr>
            <w:tcW w:w="6493" w:type="dxa"/>
          </w:tcPr>
          <w:p w14:paraId="5A5D32D9" w14:textId="5D09AE6E" w:rsidR="00066562" w:rsidRPr="00F8339D" w:rsidRDefault="00066562" w:rsidP="00532162">
            <w:pPr>
              <w:rPr>
                <w:sz w:val="22"/>
                <w:szCs w:val="22"/>
              </w:rPr>
            </w:pPr>
            <w:r w:rsidRPr="00F8339D">
              <w:rPr>
                <w:sz w:val="22"/>
                <w:szCs w:val="22"/>
              </w:rPr>
              <w:t>The UE continues simultaneous evaluation of CHO and CPC.</w:t>
            </w:r>
          </w:p>
        </w:tc>
      </w:tr>
    </w:tbl>
    <w:p w14:paraId="5CCE50BF" w14:textId="55AF604C" w:rsidR="00066562" w:rsidRDefault="00066562" w:rsidP="00AC5C1D">
      <w:pPr>
        <w:jc w:val="both"/>
        <w:rPr>
          <w:sz w:val="22"/>
          <w:szCs w:val="22"/>
        </w:rPr>
      </w:pPr>
    </w:p>
    <w:p w14:paraId="17DA76B3" w14:textId="77777777" w:rsidR="00EB3B5F" w:rsidRDefault="00AF7B8C" w:rsidP="00AC5C1D">
      <w:pPr>
        <w:jc w:val="both"/>
        <w:rPr>
          <w:sz w:val="22"/>
          <w:szCs w:val="22"/>
        </w:rPr>
      </w:pPr>
      <w:r>
        <w:rPr>
          <w:sz w:val="22"/>
          <w:szCs w:val="22"/>
        </w:rPr>
        <w:lastRenderedPageBreak/>
        <w:t xml:space="preserve">Since RAN2 agreed </w:t>
      </w:r>
      <w:r w:rsidRPr="00AF7B8C">
        <w:rPr>
          <w:sz w:val="22"/>
          <w:szCs w:val="22"/>
        </w:rPr>
        <w:t>“the UE doesn’t execute CPC/CPA unless CHO condition is fulfilled”</w:t>
      </w:r>
      <w:r>
        <w:rPr>
          <w:sz w:val="22"/>
          <w:szCs w:val="22"/>
        </w:rPr>
        <w:t>, the UE needs to check CHO condition first. If CHO condition is not met, UE continues the evaluation. If CHO condition is met, then UE further checks if CPC condition is also met.</w:t>
      </w:r>
      <w:r w:rsidR="00EB3B5F">
        <w:rPr>
          <w:sz w:val="22"/>
          <w:szCs w:val="22"/>
        </w:rPr>
        <w:t xml:space="preserve"> </w:t>
      </w:r>
    </w:p>
    <w:p w14:paraId="440E33A1" w14:textId="7E4ED5FC" w:rsidR="00AF7B8C" w:rsidRDefault="00EB3B5F" w:rsidP="00AC5C1D">
      <w:pPr>
        <w:jc w:val="both"/>
        <w:rPr>
          <w:sz w:val="22"/>
          <w:szCs w:val="22"/>
        </w:rPr>
      </w:pPr>
      <w:r>
        <w:rPr>
          <w:sz w:val="22"/>
          <w:szCs w:val="22"/>
        </w:rPr>
        <w:t xml:space="preserve">When both CHO and CPC conditions are met, the UE applies the </w:t>
      </w:r>
      <w:r w:rsidRPr="00EB3B5F">
        <w:rPr>
          <w:i/>
          <w:iCs/>
          <w:sz w:val="22"/>
          <w:szCs w:val="22"/>
        </w:rPr>
        <w:t>RRCReconfiguration</w:t>
      </w:r>
      <w:r w:rsidRPr="00EB3B5F">
        <w:rPr>
          <w:sz w:val="22"/>
          <w:szCs w:val="22"/>
        </w:rPr>
        <w:t>* message</w:t>
      </w:r>
      <w:r>
        <w:rPr>
          <w:sz w:val="22"/>
          <w:szCs w:val="22"/>
        </w:rPr>
        <w:t xml:space="preserve"> (also including target SCG configuration</w:t>
      </w:r>
      <w:r w:rsidR="007D1720" w:rsidRPr="007D1720">
        <w:t xml:space="preserve"> </w:t>
      </w:r>
      <w:r w:rsidR="007D1720" w:rsidRPr="007D1720">
        <w:rPr>
          <w:sz w:val="22"/>
          <w:szCs w:val="22"/>
        </w:rPr>
        <w:t>corresponding to the selected candidate P</w:t>
      </w:r>
      <w:r w:rsidR="007D1720">
        <w:rPr>
          <w:sz w:val="22"/>
          <w:szCs w:val="22"/>
        </w:rPr>
        <w:t>S</w:t>
      </w:r>
      <w:r w:rsidR="007D1720" w:rsidRPr="007D1720">
        <w:rPr>
          <w:sz w:val="22"/>
          <w:szCs w:val="22"/>
        </w:rPr>
        <w:t>Cell</w:t>
      </w:r>
      <w:r>
        <w:rPr>
          <w:sz w:val="22"/>
          <w:szCs w:val="22"/>
        </w:rPr>
        <w:t>)</w:t>
      </w:r>
      <w:r w:rsidRPr="00EB3B5F">
        <w:rPr>
          <w:sz w:val="22"/>
          <w:szCs w:val="22"/>
        </w:rPr>
        <w:t xml:space="preserve"> corresponding to the selected candidate PCell, and sends an MN </w:t>
      </w:r>
      <w:r w:rsidRPr="00EB3B5F">
        <w:rPr>
          <w:i/>
          <w:iCs/>
          <w:sz w:val="22"/>
          <w:szCs w:val="22"/>
        </w:rPr>
        <w:t>RRCReconfigurationComplete</w:t>
      </w:r>
      <w:r w:rsidRPr="00EB3B5F">
        <w:rPr>
          <w:sz w:val="22"/>
          <w:szCs w:val="22"/>
        </w:rPr>
        <w:t xml:space="preserve">* message, including an NR </w:t>
      </w:r>
      <w:r w:rsidRPr="00EB3B5F">
        <w:rPr>
          <w:i/>
          <w:iCs/>
          <w:sz w:val="22"/>
          <w:szCs w:val="22"/>
        </w:rPr>
        <w:t>RRCReconfigurationComplete</w:t>
      </w:r>
      <w:r w:rsidRPr="00EB3B5F">
        <w:rPr>
          <w:sz w:val="22"/>
          <w:szCs w:val="22"/>
        </w:rPr>
        <w:t>** message for the selected candidate PSCell (MN forwards it to SN later).</w:t>
      </w:r>
      <w:r>
        <w:rPr>
          <w:sz w:val="22"/>
          <w:szCs w:val="22"/>
        </w:rPr>
        <w:t xml:space="preserve"> But RACH towards target PSCell should be after the successful RACH towards target PCell, i.e., after the successful transmission of </w:t>
      </w:r>
      <w:r w:rsidRPr="00EB3B5F">
        <w:rPr>
          <w:sz w:val="22"/>
          <w:szCs w:val="22"/>
        </w:rPr>
        <w:t xml:space="preserve">MN </w:t>
      </w:r>
      <w:r w:rsidRPr="00EB3B5F">
        <w:rPr>
          <w:i/>
          <w:iCs/>
          <w:sz w:val="22"/>
          <w:szCs w:val="22"/>
        </w:rPr>
        <w:t>RRCReconfigurationComplete</w:t>
      </w:r>
      <w:r w:rsidRPr="00EB3B5F">
        <w:rPr>
          <w:sz w:val="22"/>
          <w:szCs w:val="22"/>
        </w:rPr>
        <w:t>* message</w:t>
      </w:r>
      <w:r>
        <w:rPr>
          <w:sz w:val="22"/>
          <w:szCs w:val="22"/>
        </w:rPr>
        <w:t>.</w:t>
      </w:r>
    </w:p>
    <w:p w14:paraId="28BE7217" w14:textId="4793C559" w:rsidR="00EB3B5F" w:rsidRPr="00EB3B5F" w:rsidRDefault="00EB3B5F" w:rsidP="00AC5C1D">
      <w:pPr>
        <w:jc w:val="both"/>
        <w:rPr>
          <w:b/>
          <w:bCs/>
          <w:sz w:val="22"/>
          <w:szCs w:val="22"/>
        </w:rPr>
      </w:pPr>
      <w:r w:rsidRPr="00EB3B5F">
        <w:rPr>
          <w:b/>
          <w:bCs/>
          <w:sz w:val="22"/>
          <w:szCs w:val="22"/>
        </w:rPr>
        <w:t xml:space="preserve">Proposal 4: When both CHO and CPC conditions are met, the UE applies the </w:t>
      </w:r>
      <w:r w:rsidRPr="00EB3B5F">
        <w:rPr>
          <w:b/>
          <w:bCs/>
          <w:i/>
          <w:iCs/>
          <w:sz w:val="22"/>
          <w:szCs w:val="22"/>
        </w:rPr>
        <w:t>RRCReconfiguration</w:t>
      </w:r>
      <w:r w:rsidRPr="00EB3B5F">
        <w:rPr>
          <w:b/>
          <w:bCs/>
          <w:sz w:val="22"/>
          <w:szCs w:val="22"/>
        </w:rPr>
        <w:t>* message (also including target SCG configuration</w:t>
      </w:r>
      <w:r w:rsidR="007D1720">
        <w:rPr>
          <w:b/>
          <w:bCs/>
          <w:sz w:val="22"/>
          <w:szCs w:val="22"/>
        </w:rPr>
        <w:t xml:space="preserve"> </w:t>
      </w:r>
      <w:r w:rsidR="007D1720" w:rsidRPr="00EB3B5F">
        <w:rPr>
          <w:b/>
          <w:bCs/>
          <w:sz w:val="22"/>
          <w:szCs w:val="22"/>
        </w:rPr>
        <w:t>corresponding to the selected candidate P</w:t>
      </w:r>
      <w:r w:rsidR="007D1720">
        <w:rPr>
          <w:b/>
          <w:bCs/>
          <w:sz w:val="22"/>
          <w:szCs w:val="22"/>
        </w:rPr>
        <w:t>S</w:t>
      </w:r>
      <w:r w:rsidR="007D1720" w:rsidRPr="00EB3B5F">
        <w:rPr>
          <w:b/>
          <w:bCs/>
          <w:sz w:val="22"/>
          <w:szCs w:val="22"/>
        </w:rPr>
        <w:t>Cell</w:t>
      </w:r>
      <w:r w:rsidRPr="00EB3B5F">
        <w:rPr>
          <w:b/>
          <w:bCs/>
          <w:sz w:val="22"/>
          <w:szCs w:val="22"/>
        </w:rPr>
        <w:t xml:space="preserve">) </w:t>
      </w:r>
      <w:bookmarkStart w:id="6" w:name="_Hlk130395443"/>
      <w:r w:rsidRPr="00EB3B5F">
        <w:rPr>
          <w:b/>
          <w:bCs/>
          <w:sz w:val="22"/>
          <w:szCs w:val="22"/>
        </w:rPr>
        <w:t>corresponding to the selected candidate PCell</w:t>
      </w:r>
      <w:bookmarkEnd w:id="6"/>
      <w:r w:rsidRPr="00EB3B5F">
        <w:rPr>
          <w:b/>
          <w:bCs/>
          <w:sz w:val="22"/>
          <w:szCs w:val="22"/>
        </w:rPr>
        <w:t xml:space="preserve">, and sends an MN </w:t>
      </w:r>
      <w:r w:rsidRPr="00EB3B5F">
        <w:rPr>
          <w:b/>
          <w:bCs/>
          <w:i/>
          <w:iCs/>
          <w:sz w:val="22"/>
          <w:szCs w:val="22"/>
        </w:rPr>
        <w:t>RRCReconfigurationComplete</w:t>
      </w:r>
      <w:r w:rsidRPr="00EB3B5F">
        <w:rPr>
          <w:b/>
          <w:bCs/>
          <w:sz w:val="22"/>
          <w:szCs w:val="22"/>
        </w:rPr>
        <w:t xml:space="preserve">* message, including an NR </w:t>
      </w:r>
      <w:r w:rsidRPr="00EB3B5F">
        <w:rPr>
          <w:b/>
          <w:bCs/>
          <w:i/>
          <w:iCs/>
          <w:sz w:val="22"/>
          <w:szCs w:val="22"/>
        </w:rPr>
        <w:t>RRCReconfigurationComplete</w:t>
      </w:r>
      <w:r w:rsidRPr="00EB3B5F">
        <w:rPr>
          <w:b/>
          <w:bCs/>
          <w:sz w:val="22"/>
          <w:szCs w:val="22"/>
        </w:rPr>
        <w:t>** message for the selected candidate PSCell.</w:t>
      </w:r>
    </w:p>
    <w:p w14:paraId="69F1B9A9" w14:textId="32ECC47C" w:rsidR="00EB3B5F" w:rsidRPr="00EB3B5F" w:rsidRDefault="00EB3B5F" w:rsidP="00AC5C1D">
      <w:pPr>
        <w:jc w:val="both"/>
        <w:rPr>
          <w:b/>
          <w:bCs/>
          <w:sz w:val="22"/>
          <w:szCs w:val="22"/>
        </w:rPr>
      </w:pPr>
      <w:r w:rsidRPr="00EB3B5F">
        <w:rPr>
          <w:b/>
          <w:bCs/>
          <w:sz w:val="22"/>
          <w:szCs w:val="22"/>
        </w:rPr>
        <w:t>Proposal 5: RACH towards target PSCell should be after the successful RACH towards target PCell.</w:t>
      </w:r>
    </w:p>
    <w:p w14:paraId="7475AEA4" w14:textId="5EDD142C" w:rsidR="00A332E3" w:rsidRDefault="00A332E3" w:rsidP="00A332E3">
      <w:pPr>
        <w:jc w:val="both"/>
        <w:rPr>
          <w:sz w:val="22"/>
          <w:szCs w:val="22"/>
        </w:rPr>
      </w:pPr>
      <w:r w:rsidRPr="00A332E3">
        <w:rPr>
          <w:sz w:val="22"/>
          <w:szCs w:val="22"/>
        </w:rPr>
        <w:t xml:space="preserve">When </w:t>
      </w:r>
      <w:r>
        <w:rPr>
          <w:sz w:val="22"/>
          <w:szCs w:val="22"/>
        </w:rPr>
        <w:t>CHO condition is met, but CPC condition is not met. Currently there are three options as shown in Table 1. In our view, the original intention of CHO should still maintain valid, i.e., the simultaneous</w:t>
      </w:r>
      <w:r w:rsidRPr="002B6BE5">
        <w:rPr>
          <w:sz w:val="22"/>
          <w:szCs w:val="22"/>
        </w:rPr>
        <w:t xml:space="preserve"> evaluation </w:t>
      </w:r>
      <w:r>
        <w:rPr>
          <w:sz w:val="22"/>
          <w:szCs w:val="22"/>
        </w:rPr>
        <w:t>should not</w:t>
      </w:r>
      <w:r w:rsidRPr="002B6BE5">
        <w:rPr>
          <w:sz w:val="22"/>
          <w:szCs w:val="22"/>
        </w:rPr>
        <w:t xml:space="preserve"> result in delay in executing the CHO</w:t>
      </w:r>
      <w:r>
        <w:rPr>
          <w:sz w:val="22"/>
          <w:szCs w:val="22"/>
        </w:rPr>
        <w:t xml:space="preserve">. As legacy, the </w:t>
      </w:r>
      <w:r w:rsidRPr="006E0041">
        <w:rPr>
          <w:sz w:val="22"/>
          <w:szCs w:val="22"/>
        </w:rPr>
        <w:t xml:space="preserve">CHO execution is triggered once the CHO execution conditions is met, </w:t>
      </w:r>
      <w:r>
        <w:rPr>
          <w:sz w:val="22"/>
          <w:szCs w:val="22"/>
        </w:rPr>
        <w:t>and</w:t>
      </w:r>
      <w:r w:rsidRPr="006E0041">
        <w:rPr>
          <w:sz w:val="22"/>
          <w:szCs w:val="22"/>
        </w:rPr>
        <w:t xml:space="preserve"> whether the CPC execution condition is met is not taken into account</w:t>
      </w:r>
      <w:r>
        <w:rPr>
          <w:sz w:val="22"/>
          <w:szCs w:val="22"/>
        </w:rPr>
        <w:t xml:space="preserve">. Then regarding whether to perform PSCell change even if CPC condition is not met, we prefer to keep current source SCG </w:t>
      </w:r>
      <w:r w:rsidR="00E30624">
        <w:rPr>
          <w:sz w:val="22"/>
          <w:szCs w:val="22"/>
        </w:rPr>
        <w:t xml:space="preserve">ongoing </w:t>
      </w:r>
      <w:r>
        <w:rPr>
          <w:sz w:val="22"/>
          <w:szCs w:val="22"/>
        </w:rPr>
        <w:t>and UE continue the evaluation of CPC. If the PSCell change is executed, but the SCG is deactivated, there is still no SCG to maintain high data rate, which is still not aligned with the intention of CHO including CPC.</w:t>
      </w:r>
    </w:p>
    <w:p w14:paraId="61B9C189" w14:textId="40200603" w:rsidR="00A332E3" w:rsidRPr="00142BB2" w:rsidRDefault="00A332E3" w:rsidP="00A332E3">
      <w:pPr>
        <w:jc w:val="both"/>
        <w:rPr>
          <w:b/>
          <w:bCs/>
          <w:sz w:val="22"/>
          <w:szCs w:val="22"/>
        </w:rPr>
      </w:pPr>
      <w:r w:rsidRPr="00142BB2">
        <w:rPr>
          <w:b/>
          <w:bCs/>
          <w:sz w:val="22"/>
          <w:szCs w:val="22"/>
        </w:rPr>
        <w:t xml:space="preserve">Proposal </w:t>
      </w:r>
      <w:r>
        <w:rPr>
          <w:b/>
          <w:bCs/>
          <w:sz w:val="22"/>
          <w:szCs w:val="22"/>
        </w:rPr>
        <w:t>6</w:t>
      </w:r>
      <w:r w:rsidRPr="00142BB2">
        <w:rPr>
          <w:b/>
          <w:bCs/>
          <w:sz w:val="22"/>
          <w:szCs w:val="22"/>
        </w:rPr>
        <w:t xml:space="preserve">: </w:t>
      </w:r>
      <w:r w:rsidRPr="00A332E3">
        <w:rPr>
          <w:b/>
          <w:bCs/>
          <w:sz w:val="22"/>
          <w:szCs w:val="22"/>
        </w:rPr>
        <w:t>When CHO condition is met, but CPC condition is not met</w:t>
      </w:r>
      <w:r>
        <w:rPr>
          <w:b/>
          <w:bCs/>
          <w:sz w:val="22"/>
          <w:szCs w:val="22"/>
        </w:rPr>
        <w:t>,</w:t>
      </w:r>
      <w:r w:rsidRPr="00A332E3">
        <w:rPr>
          <w:b/>
          <w:bCs/>
          <w:sz w:val="22"/>
          <w:szCs w:val="22"/>
        </w:rPr>
        <w:t xml:space="preserve"> </w:t>
      </w:r>
      <w:r>
        <w:rPr>
          <w:b/>
          <w:bCs/>
          <w:sz w:val="22"/>
          <w:szCs w:val="22"/>
        </w:rPr>
        <w:t xml:space="preserve">CHO execution is triggered </w:t>
      </w:r>
      <w:r w:rsidR="00031842">
        <w:rPr>
          <w:b/>
          <w:bCs/>
          <w:sz w:val="22"/>
          <w:szCs w:val="22"/>
        </w:rPr>
        <w:t>and i</w:t>
      </w:r>
      <w:r w:rsidR="00031842" w:rsidRPr="00031842">
        <w:rPr>
          <w:b/>
          <w:bCs/>
          <w:sz w:val="22"/>
          <w:szCs w:val="22"/>
        </w:rPr>
        <w:t xml:space="preserve">t’s up to target MN to indicate a </w:t>
      </w:r>
      <w:r w:rsidR="00031842" w:rsidRPr="00031842">
        <w:rPr>
          <w:b/>
          <w:bCs/>
          <w:i/>
          <w:iCs/>
          <w:sz w:val="22"/>
          <w:szCs w:val="22"/>
        </w:rPr>
        <w:t>ReconfWithSync</w:t>
      </w:r>
      <w:r w:rsidR="00031842" w:rsidRPr="00031842">
        <w:rPr>
          <w:b/>
          <w:bCs/>
          <w:sz w:val="22"/>
          <w:szCs w:val="22"/>
        </w:rPr>
        <w:t xml:space="preserve"> for</w:t>
      </w:r>
      <w:r w:rsidR="008B6752">
        <w:rPr>
          <w:b/>
          <w:bCs/>
          <w:sz w:val="22"/>
          <w:szCs w:val="22"/>
        </w:rPr>
        <w:t xml:space="preserve"> source</w:t>
      </w:r>
      <w:r w:rsidR="00031842" w:rsidRPr="00031842">
        <w:rPr>
          <w:b/>
          <w:bCs/>
          <w:sz w:val="22"/>
          <w:szCs w:val="22"/>
        </w:rPr>
        <w:t xml:space="preserve"> SCG. And UE continues evaluation of CPC conditions.</w:t>
      </w:r>
    </w:p>
    <w:p w14:paraId="4D6439D1" w14:textId="36180D04" w:rsidR="000C31DB" w:rsidRDefault="000C31DB" w:rsidP="00AE4652">
      <w:pPr>
        <w:rPr>
          <w:sz w:val="22"/>
          <w:szCs w:val="22"/>
        </w:rPr>
      </w:pPr>
    </w:p>
    <w:p w14:paraId="0E7AFEE3" w14:textId="766EDEED" w:rsidR="00AC1904" w:rsidRPr="00451981" w:rsidRDefault="00AC1904" w:rsidP="00451981">
      <w:pPr>
        <w:pStyle w:val="Heading2"/>
        <w:spacing w:after="120"/>
        <w:rPr>
          <w:rFonts w:ascii="Arial" w:hAnsi="Arial" w:cs="Arial"/>
          <w:color w:val="auto"/>
          <w:sz w:val="32"/>
          <w:szCs w:val="32"/>
        </w:rPr>
      </w:pPr>
      <w:r w:rsidRPr="00451981">
        <w:rPr>
          <w:rFonts w:ascii="Arial" w:hAnsi="Arial" w:cs="Arial"/>
          <w:color w:val="auto"/>
          <w:sz w:val="32"/>
          <w:szCs w:val="32"/>
        </w:rPr>
        <w:t xml:space="preserve">2.2 </w:t>
      </w:r>
      <w:bookmarkStart w:id="7" w:name="_Hlk130396388"/>
      <w:r w:rsidR="006D3F66">
        <w:rPr>
          <w:rFonts w:ascii="Arial" w:hAnsi="Arial" w:cs="Arial"/>
          <w:color w:val="auto"/>
          <w:sz w:val="32"/>
          <w:szCs w:val="32"/>
        </w:rPr>
        <w:t>S</w:t>
      </w:r>
      <w:r w:rsidR="006D3F66" w:rsidRPr="006D3F66">
        <w:rPr>
          <w:rFonts w:ascii="Arial" w:hAnsi="Arial" w:cs="Arial"/>
          <w:color w:val="auto"/>
          <w:sz w:val="32"/>
          <w:szCs w:val="32"/>
        </w:rPr>
        <w:t>imultaneous evaluation of CHO and CP</w:t>
      </w:r>
      <w:r w:rsidR="006D3F66">
        <w:rPr>
          <w:rFonts w:ascii="Arial" w:hAnsi="Arial" w:cs="Arial"/>
          <w:color w:val="auto"/>
          <w:sz w:val="32"/>
          <w:szCs w:val="32"/>
        </w:rPr>
        <w:t>A</w:t>
      </w:r>
      <w:bookmarkEnd w:id="7"/>
    </w:p>
    <w:p w14:paraId="30B29AC3" w14:textId="3BB73EF8" w:rsidR="0086444B" w:rsidRDefault="0086444B" w:rsidP="00AC1904">
      <w:pPr>
        <w:jc w:val="both"/>
        <w:rPr>
          <w:sz w:val="22"/>
          <w:szCs w:val="22"/>
        </w:rPr>
      </w:pPr>
      <w:r>
        <w:rPr>
          <w:sz w:val="22"/>
          <w:szCs w:val="22"/>
        </w:rPr>
        <w:t>In RAN2#121, “</w:t>
      </w:r>
      <w:r w:rsidRPr="0086444B">
        <w:rPr>
          <w:sz w:val="22"/>
          <w:szCs w:val="22"/>
        </w:rPr>
        <w:t>the simultaneous evaluation of CHO and CPC</w:t>
      </w:r>
      <w:r>
        <w:rPr>
          <w:sz w:val="22"/>
          <w:szCs w:val="22"/>
        </w:rPr>
        <w:t xml:space="preserve">” was agreed. Similarly, </w:t>
      </w:r>
      <w:r w:rsidRPr="0086444B">
        <w:rPr>
          <w:sz w:val="22"/>
          <w:szCs w:val="22"/>
        </w:rPr>
        <w:t>the simultaneous evaluation of CHO and CP</w:t>
      </w:r>
      <w:r>
        <w:rPr>
          <w:sz w:val="22"/>
          <w:szCs w:val="22"/>
        </w:rPr>
        <w:t xml:space="preserve">A can also be supported, as the only difference is </w:t>
      </w:r>
      <w:r w:rsidR="007D1720">
        <w:rPr>
          <w:sz w:val="22"/>
          <w:szCs w:val="22"/>
        </w:rPr>
        <w:t xml:space="preserve">that </w:t>
      </w:r>
      <w:r>
        <w:rPr>
          <w:sz w:val="22"/>
          <w:szCs w:val="22"/>
        </w:rPr>
        <w:t>there is no source SCG in this case.</w:t>
      </w:r>
    </w:p>
    <w:p w14:paraId="785D4400" w14:textId="4F24DFA8" w:rsidR="0086444B" w:rsidRPr="0086444B" w:rsidRDefault="0086444B" w:rsidP="00AC1904">
      <w:pPr>
        <w:jc w:val="both"/>
        <w:rPr>
          <w:b/>
          <w:bCs/>
          <w:sz w:val="22"/>
          <w:szCs w:val="22"/>
        </w:rPr>
      </w:pPr>
      <w:r w:rsidRPr="0086444B">
        <w:rPr>
          <w:b/>
          <w:bCs/>
          <w:sz w:val="22"/>
          <w:szCs w:val="22"/>
        </w:rPr>
        <w:t>Proposal 7: RAN2 agrees to support the simultaneous evaluation of CHO and CPA in Rel-18</w:t>
      </w:r>
      <w:r w:rsidR="00F8339D">
        <w:rPr>
          <w:b/>
          <w:bCs/>
          <w:sz w:val="22"/>
          <w:szCs w:val="22"/>
        </w:rPr>
        <w:t>.</w:t>
      </w:r>
    </w:p>
    <w:p w14:paraId="0A424519" w14:textId="07876454" w:rsidR="00FE37CF" w:rsidRDefault="00CD7C7A" w:rsidP="00C44519">
      <w:pPr>
        <w:rPr>
          <w:sz w:val="22"/>
          <w:szCs w:val="22"/>
        </w:rPr>
      </w:pPr>
      <w:r>
        <w:rPr>
          <w:sz w:val="22"/>
          <w:szCs w:val="22"/>
        </w:rPr>
        <w:t xml:space="preserve">Regarding the detailed design for CHO including CPC, the same designs of </w:t>
      </w:r>
      <w:r w:rsidRPr="00CD7C7A">
        <w:rPr>
          <w:sz w:val="22"/>
          <w:szCs w:val="22"/>
        </w:rPr>
        <w:t>role of network nodes</w:t>
      </w:r>
      <w:r>
        <w:rPr>
          <w:sz w:val="22"/>
          <w:szCs w:val="22"/>
        </w:rPr>
        <w:t>, RRC signalling structure and UE</w:t>
      </w:r>
      <w:r w:rsidRPr="00CD7C7A">
        <w:t xml:space="preserve"> </w:t>
      </w:r>
      <w:r w:rsidRPr="00CD7C7A">
        <w:rPr>
          <w:sz w:val="22"/>
          <w:szCs w:val="22"/>
        </w:rPr>
        <w:t>behaviour in execution phase</w:t>
      </w:r>
      <w:r>
        <w:rPr>
          <w:sz w:val="22"/>
          <w:szCs w:val="22"/>
        </w:rPr>
        <w:t xml:space="preserve"> can be reused as much as possible for CHO including CPA.</w:t>
      </w:r>
    </w:p>
    <w:p w14:paraId="09C8A082" w14:textId="447E8FFD" w:rsidR="00CD7C7A" w:rsidRPr="00CD7C7A" w:rsidRDefault="00CD7C7A" w:rsidP="00C44519">
      <w:pPr>
        <w:rPr>
          <w:b/>
          <w:bCs/>
          <w:sz w:val="22"/>
          <w:szCs w:val="22"/>
        </w:rPr>
      </w:pPr>
      <w:r w:rsidRPr="00CD7C7A">
        <w:rPr>
          <w:b/>
          <w:bCs/>
          <w:sz w:val="22"/>
          <w:szCs w:val="22"/>
        </w:rPr>
        <w:t xml:space="preserve">Proposal </w:t>
      </w:r>
      <w:r w:rsidR="00C84E1A">
        <w:rPr>
          <w:b/>
          <w:bCs/>
          <w:sz w:val="22"/>
          <w:szCs w:val="22"/>
        </w:rPr>
        <w:t>8</w:t>
      </w:r>
      <w:r w:rsidRPr="00CD7C7A">
        <w:rPr>
          <w:b/>
          <w:bCs/>
          <w:sz w:val="22"/>
          <w:szCs w:val="22"/>
        </w:rPr>
        <w:t>:</w:t>
      </w:r>
      <w:r w:rsidRPr="00CD7C7A">
        <w:rPr>
          <w:b/>
          <w:bCs/>
        </w:rPr>
        <w:t xml:space="preserve"> the </w:t>
      </w:r>
      <w:r w:rsidRPr="00CD7C7A">
        <w:rPr>
          <w:b/>
          <w:bCs/>
          <w:sz w:val="22"/>
          <w:szCs w:val="22"/>
        </w:rPr>
        <w:t xml:space="preserve">detailed design </w:t>
      </w:r>
      <w:r w:rsidR="006D0BA5">
        <w:rPr>
          <w:b/>
          <w:bCs/>
          <w:sz w:val="22"/>
          <w:szCs w:val="22"/>
        </w:rPr>
        <w:t>of</w:t>
      </w:r>
      <w:r w:rsidRPr="00CD7C7A">
        <w:rPr>
          <w:b/>
          <w:bCs/>
          <w:sz w:val="22"/>
          <w:szCs w:val="22"/>
        </w:rPr>
        <w:t xml:space="preserve"> CHO including CPC can be reused as much as possible for CHO including CPA.</w:t>
      </w:r>
    </w:p>
    <w:p w14:paraId="23A8CAB2" w14:textId="77D84259" w:rsidR="009F6669" w:rsidRDefault="009F6669" w:rsidP="00826C92">
      <w:pPr>
        <w:pStyle w:val="Heading1"/>
        <w:numPr>
          <w:ilvl w:val="0"/>
          <w:numId w:val="1"/>
        </w:numPr>
      </w:pPr>
      <w:r>
        <w:t>Conclusion</w:t>
      </w:r>
    </w:p>
    <w:p w14:paraId="00A4F195" w14:textId="0DF7AE4E" w:rsidR="003D02C6" w:rsidRDefault="00932F0E" w:rsidP="00B85263">
      <w:pPr>
        <w:jc w:val="both"/>
        <w:rPr>
          <w:sz w:val="22"/>
          <w:szCs w:val="22"/>
          <w:lang w:val="en-US"/>
        </w:rPr>
      </w:pPr>
      <w:r w:rsidRPr="0025105E">
        <w:rPr>
          <w:sz w:val="22"/>
          <w:szCs w:val="22"/>
          <w:lang w:val="en-US"/>
        </w:rPr>
        <w:t xml:space="preserve">In this paper, we discuss </w:t>
      </w:r>
      <w:r w:rsidR="00422B2F">
        <w:rPr>
          <w:sz w:val="22"/>
          <w:szCs w:val="22"/>
          <w:lang w:val="en-US"/>
        </w:rPr>
        <w:t xml:space="preserve">the </w:t>
      </w:r>
      <w:r w:rsidR="00FE37CF" w:rsidRPr="00FE37CF">
        <w:rPr>
          <w:sz w:val="22"/>
          <w:szCs w:val="22"/>
          <w:lang w:val="en-US"/>
        </w:rPr>
        <w:t>CHO including target MCG and candidate SCGs for CPC/CPA</w:t>
      </w:r>
      <w:r w:rsidRPr="0025105E">
        <w:rPr>
          <w:sz w:val="22"/>
          <w:szCs w:val="22"/>
          <w:lang w:val="en-US"/>
        </w:rPr>
        <w:t xml:space="preserve">, and we have the following </w:t>
      </w:r>
      <w:r w:rsidR="00FE37CF">
        <w:rPr>
          <w:sz w:val="22"/>
          <w:szCs w:val="22"/>
          <w:lang w:val="en-US"/>
        </w:rPr>
        <w:t>proposals</w:t>
      </w:r>
      <w:r w:rsidRPr="0025105E">
        <w:rPr>
          <w:sz w:val="22"/>
          <w:szCs w:val="22"/>
          <w:lang w:val="en-US"/>
        </w:rPr>
        <w:t>:</w:t>
      </w:r>
    </w:p>
    <w:p w14:paraId="71E6ACB1" w14:textId="3B7E0BF0" w:rsidR="006D0BA5" w:rsidRDefault="006D0BA5" w:rsidP="00B85263">
      <w:pPr>
        <w:jc w:val="both"/>
        <w:rPr>
          <w:sz w:val="22"/>
          <w:szCs w:val="22"/>
          <w:u w:val="single"/>
          <w:lang w:val="en-US"/>
        </w:rPr>
      </w:pPr>
      <w:r w:rsidRPr="006D0BA5">
        <w:rPr>
          <w:sz w:val="22"/>
          <w:szCs w:val="22"/>
          <w:u w:val="single"/>
          <w:lang w:val="en-US"/>
        </w:rPr>
        <w:t>Simultaneous evaluation of CHO and CPC:</w:t>
      </w:r>
    </w:p>
    <w:p w14:paraId="334D1512" w14:textId="77777777" w:rsidR="006D0BA5" w:rsidRPr="00CF58ED" w:rsidRDefault="006D0BA5" w:rsidP="006D0BA5">
      <w:pPr>
        <w:jc w:val="both"/>
        <w:rPr>
          <w:b/>
          <w:bCs/>
          <w:sz w:val="22"/>
          <w:szCs w:val="22"/>
        </w:rPr>
      </w:pPr>
      <w:r w:rsidRPr="00CF58ED">
        <w:rPr>
          <w:b/>
          <w:bCs/>
          <w:sz w:val="22"/>
          <w:szCs w:val="22"/>
        </w:rPr>
        <w:lastRenderedPageBreak/>
        <w:t>Proposal 1: source-MN or source-SN selects the candidate PSCells</w:t>
      </w:r>
      <w:r>
        <w:rPr>
          <w:b/>
          <w:bCs/>
          <w:sz w:val="22"/>
          <w:szCs w:val="22"/>
        </w:rPr>
        <w:t xml:space="preserve"> for CPC preparation</w:t>
      </w:r>
      <w:r w:rsidRPr="00CF58ED">
        <w:rPr>
          <w:b/>
          <w:bCs/>
          <w:sz w:val="22"/>
          <w:szCs w:val="22"/>
        </w:rPr>
        <w:t xml:space="preserve"> and decide on the corresponding execution conditions. The execution conditions for candidate PSCells can be mapped to </w:t>
      </w:r>
      <w:r w:rsidRPr="00ED2157">
        <w:rPr>
          <w:b/>
          <w:bCs/>
          <w:i/>
          <w:iCs/>
          <w:sz w:val="22"/>
          <w:szCs w:val="22"/>
        </w:rPr>
        <w:t>MeasIds</w:t>
      </w:r>
      <w:r w:rsidRPr="00CF58ED">
        <w:rPr>
          <w:b/>
          <w:bCs/>
          <w:sz w:val="22"/>
          <w:szCs w:val="22"/>
        </w:rPr>
        <w:t xml:space="preserve"> that refer to the source MCG </w:t>
      </w:r>
      <w:r w:rsidRPr="00ED2157">
        <w:rPr>
          <w:b/>
          <w:bCs/>
          <w:i/>
          <w:iCs/>
          <w:sz w:val="22"/>
          <w:szCs w:val="22"/>
        </w:rPr>
        <w:t>measConfig</w:t>
      </w:r>
      <w:r w:rsidRPr="00CF58ED">
        <w:rPr>
          <w:b/>
          <w:bCs/>
          <w:sz w:val="22"/>
          <w:szCs w:val="22"/>
        </w:rPr>
        <w:t xml:space="preserve"> or source SCG </w:t>
      </w:r>
      <w:r w:rsidRPr="00ED2157">
        <w:rPr>
          <w:b/>
          <w:bCs/>
          <w:i/>
          <w:iCs/>
          <w:sz w:val="22"/>
          <w:szCs w:val="22"/>
        </w:rPr>
        <w:t>measConfig</w:t>
      </w:r>
      <w:r w:rsidRPr="00CF58ED">
        <w:rPr>
          <w:b/>
          <w:bCs/>
          <w:sz w:val="22"/>
          <w:szCs w:val="22"/>
        </w:rPr>
        <w:t>.</w:t>
      </w:r>
    </w:p>
    <w:p w14:paraId="6D9CCC0E" w14:textId="7066C8BE" w:rsidR="006D0BA5" w:rsidRDefault="006D0BA5" w:rsidP="00B85263">
      <w:pPr>
        <w:jc w:val="both"/>
        <w:rPr>
          <w:sz w:val="22"/>
          <w:szCs w:val="22"/>
          <w:u w:val="single"/>
          <w:lang w:val="en-US"/>
        </w:rPr>
      </w:pPr>
      <w:r w:rsidRPr="009F1B3A">
        <w:rPr>
          <w:b/>
          <w:bCs/>
          <w:sz w:val="22"/>
          <w:szCs w:val="22"/>
        </w:rPr>
        <w:t>Proposal 2: for CPC include</w:t>
      </w:r>
      <w:r>
        <w:rPr>
          <w:b/>
          <w:bCs/>
          <w:sz w:val="22"/>
          <w:szCs w:val="22"/>
        </w:rPr>
        <w:t>d</w:t>
      </w:r>
      <w:r w:rsidRPr="009F1B3A">
        <w:rPr>
          <w:b/>
          <w:bCs/>
          <w:sz w:val="22"/>
          <w:szCs w:val="22"/>
        </w:rPr>
        <w:t xml:space="preserve"> in CHO, when source-MN decides on the execution condition, only </w:t>
      </w:r>
      <w:r w:rsidRPr="00ED2157">
        <w:rPr>
          <w:b/>
          <w:bCs/>
          <w:i/>
          <w:iCs/>
          <w:sz w:val="22"/>
          <w:szCs w:val="22"/>
        </w:rPr>
        <w:t>condEventA4</w:t>
      </w:r>
      <w:r w:rsidRPr="009F1B3A">
        <w:rPr>
          <w:b/>
          <w:bCs/>
          <w:sz w:val="22"/>
          <w:szCs w:val="22"/>
        </w:rPr>
        <w:t xml:space="preserve"> is applicable; when source-SN decides on the execution condition, </w:t>
      </w:r>
      <w:r w:rsidRPr="00ED2157">
        <w:rPr>
          <w:b/>
          <w:bCs/>
          <w:i/>
          <w:iCs/>
          <w:sz w:val="22"/>
          <w:szCs w:val="22"/>
        </w:rPr>
        <w:t>condEventA3</w:t>
      </w:r>
      <w:r w:rsidRPr="009F1B3A">
        <w:rPr>
          <w:b/>
          <w:bCs/>
          <w:sz w:val="22"/>
          <w:szCs w:val="22"/>
        </w:rPr>
        <w:t xml:space="preserve"> and </w:t>
      </w:r>
      <w:r w:rsidRPr="00ED2157">
        <w:rPr>
          <w:b/>
          <w:bCs/>
          <w:i/>
          <w:iCs/>
          <w:sz w:val="22"/>
          <w:szCs w:val="22"/>
        </w:rPr>
        <w:t>condEventA5</w:t>
      </w:r>
      <w:r w:rsidRPr="009F1B3A">
        <w:rPr>
          <w:b/>
          <w:bCs/>
          <w:sz w:val="22"/>
          <w:szCs w:val="22"/>
        </w:rPr>
        <w:t xml:space="preserve"> are applicable.</w:t>
      </w:r>
    </w:p>
    <w:p w14:paraId="5ED75778" w14:textId="77777777" w:rsidR="006D0BA5" w:rsidRPr="001E0C40" w:rsidRDefault="006D0BA5" w:rsidP="006D0BA5">
      <w:pPr>
        <w:spacing w:before="120"/>
        <w:jc w:val="both"/>
        <w:rPr>
          <w:b/>
          <w:bCs/>
          <w:sz w:val="22"/>
          <w:szCs w:val="22"/>
        </w:rPr>
      </w:pPr>
      <w:r w:rsidRPr="001E0C40">
        <w:rPr>
          <w:b/>
          <w:bCs/>
          <w:sz w:val="22"/>
          <w:szCs w:val="22"/>
        </w:rPr>
        <w:t>Proposal 3: the RRC signalling structure for simultaneous evaluation is in a two-level format:</w:t>
      </w:r>
    </w:p>
    <w:p w14:paraId="06436CD7" w14:textId="77777777" w:rsidR="006D0BA5" w:rsidRPr="001E0C40" w:rsidRDefault="006D0BA5" w:rsidP="006D0BA5">
      <w:pPr>
        <w:spacing w:before="120"/>
        <w:jc w:val="both"/>
        <w:rPr>
          <w:b/>
          <w:bCs/>
          <w:sz w:val="22"/>
          <w:szCs w:val="22"/>
        </w:rPr>
      </w:pPr>
      <w:r w:rsidRPr="001E0C40">
        <w:rPr>
          <w:b/>
          <w:bCs/>
          <w:sz w:val="22"/>
          <w:szCs w:val="22"/>
        </w:rPr>
        <w:t>In level 1, for each candidate PCell, the following configurations are provided:</w:t>
      </w:r>
    </w:p>
    <w:p w14:paraId="63B32A34" w14:textId="77777777" w:rsidR="006D0BA5" w:rsidRPr="001E0C40" w:rsidRDefault="006D0BA5" w:rsidP="006D0BA5">
      <w:pPr>
        <w:pStyle w:val="ListParagraph"/>
        <w:numPr>
          <w:ilvl w:val="0"/>
          <w:numId w:val="19"/>
        </w:numPr>
        <w:spacing w:before="120"/>
        <w:jc w:val="both"/>
        <w:rPr>
          <w:b/>
          <w:bCs/>
          <w:sz w:val="22"/>
          <w:szCs w:val="22"/>
        </w:rPr>
      </w:pPr>
      <w:r w:rsidRPr="001E0C40">
        <w:rPr>
          <w:b/>
          <w:bCs/>
          <w:sz w:val="22"/>
          <w:szCs w:val="22"/>
        </w:rPr>
        <w:t>CHO execution condition and configuration of candidate PCell.</w:t>
      </w:r>
    </w:p>
    <w:p w14:paraId="6B66EC46" w14:textId="3D87DCED" w:rsidR="006D0BA5" w:rsidRPr="001E0C40" w:rsidRDefault="006D0BA5" w:rsidP="006D0BA5">
      <w:pPr>
        <w:pStyle w:val="ListParagraph"/>
        <w:numPr>
          <w:ilvl w:val="0"/>
          <w:numId w:val="19"/>
        </w:numPr>
        <w:spacing w:before="120"/>
        <w:jc w:val="both"/>
        <w:rPr>
          <w:b/>
          <w:bCs/>
          <w:sz w:val="22"/>
          <w:szCs w:val="22"/>
        </w:rPr>
      </w:pPr>
      <w:r w:rsidRPr="001E0C40">
        <w:rPr>
          <w:b/>
          <w:bCs/>
          <w:sz w:val="22"/>
          <w:szCs w:val="22"/>
        </w:rPr>
        <w:t xml:space="preserve">A list of </w:t>
      </w:r>
      <w:r w:rsidR="000305BC">
        <w:rPr>
          <w:b/>
          <w:bCs/>
          <w:sz w:val="22"/>
          <w:szCs w:val="22"/>
        </w:rPr>
        <w:t xml:space="preserve">execution conditions of </w:t>
      </w:r>
      <w:r w:rsidRPr="001E0C40">
        <w:rPr>
          <w:b/>
          <w:bCs/>
          <w:sz w:val="22"/>
          <w:szCs w:val="22"/>
        </w:rPr>
        <w:t>candidate PSCells (corresponding to this candidate PCell). For each candidate PSCell, the information of frequency and PCI and CPC execution condition are configured.</w:t>
      </w:r>
    </w:p>
    <w:p w14:paraId="66831C09" w14:textId="77777777" w:rsidR="006D0BA5" w:rsidRPr="001E0C40" w:rsidRDefault="006D0BA5" w:rsidP="006D0BA5">
      <w:pPr>
        <w:spacing w:before="120"/>
        <w:jc w:val="both"/>
        <w:rPr>
          <w:b/>
          <w:bCs/>
          <w:sz w:val="22"/>
          <w:szCs w:val="22"/>
        </w:rPr>
      </w:pPr>
      <w:r w:rsidRPr="001E0C40">
        <w:rPr>
          <w:b/>
          <w:bCs/>
          <w:sz w:val="22"/>
          <w:szCs w:val="22"/>
        </w:rPr>
        <w:t xml:space="preserve">In level 2, i.e., contained in the </w:t>
      </w:r>
      <w:r w:rsidRPr="001E0C40">
        <w:rPr>
          <w:b/>
          <w:bCs/>
          <w:i/>
          <w:iCs/>
          <w:sz w:val="22"/>
          <w:szCs w:val="22"/>
        </w:rPr>
        <w:t>RRCReconfiguration</w:t>
      </w:r>
      <w:r w:rsidRPr="001E0C40">
        <w:rPr>
          <w:b/>
          <w:bCs/>
          <w:sz w:val="22"/>
          <w:szCs w:val="22"/>
        </w:rPr>
        <w:t xml:space="preserve"> message of each candidate PCell, the following configurations are provided:</w:t>
      </w:r>
    </w:p>
    <w:p w14:paraId="4ED7609B" w14:textId="77777777" w:rsidR="006D0BA5" w:rsidRPr="001E0C40" w:rsidRDefault="006D0BA5" w:rsidP="006D0BA5">
      <w:pPr>
        <w:pStyle w:val="ListParagraph"/>
        <w:numPr>
          <w:ilvl w:val="0"/>
          <w:numId w:val="20"/>
        </w:numPr>
        <w:spacing w:before="120"/>
        <w:jc w:val="both"/>
        <w:rPr>
          <w:b/>
          <w:bCs/>
          <w:sz w:val="22"/>
          <w:szCs w:val="22"/>
        </w:rPr>
      </w:pPr>
      <w:r w:rsidRPr="001E0C40">
        <w:rPr>
          <w:b/>
          <w:bCs/>
          <w:sz w:val="22"/>
          <w:szCs w:val="22"/>
        </w:rPr>
        <w:t>a list of configurations of candidate PSCells</w:t>
      </w:r>
      <w:r>
        <w:rPr>
          <w:b/>
          <w:bCs/>
          <w:sz w:val="22"/>
          <w:szCs w:val="22"/>
        </w:rPr>
        <w:t>.</w:t>
      </w:r>
      <w:r w:rsidRPr="001E0C40">
        <w:rPr>
          <w:b/>
          <w:bCs/>
          <w:sz w:val="22"/>
          <w:szCs w:val="22"/>
        </w:rPr>
        <w:t xml:space="preserve"> </w:t>
      </w:r>
      <w:r>
        <w:rPr>
          <w:b/>
          <w:bCs/>
          <w:sz w:val="22"/>
          <w:szCs w:val="22"/>
        </w:rPr>
        <w:t>A</w:t>
      </w:r>
      <w:r w:rsidRPr="001E0C40">
        <w:rPr>
          <w:b/>
          <w:bCs/>
          <w:sz w:val="22"/>
          <w:szCs w:val="22"/>
        </w:rPr>
        <w:t xml:space="preserve">nd for each candidate PSCell the </w:t>
      </w:r>
      <w:r w:rsidRPr="001E0C40">
        <w:rPr>
          <w:b/>
          <w:bCs/>
          <w:i/>
          <w:iCs/>
          <w:sz w:val="22"/>
          <w:szCs w:val="22"/>
        </w:rPr>
        <w:t>RRCReconfiguration</w:t>
      </w:r>
      <w:r w:rsidRPr="001E0C40">
        <w:rPr>
          <w:b/>
          <w:bCs/>
          <w:sz w:val="22"/>
          <w:szCs w:val="22"/>
        </w:rPr>
        <w:t xml:space="preserve"> message contained in </w:t>
      </w:r>
      <w:r w:rsidRPr="001E0C40">
        <w:rPr>
          <w:b/>
          <w:bCs/>
          <w:i/>
          <w:iCs/>
          <w:sz w:val="22"/>
          <w:szCs w:val="22"/>
        </w:rPr>
        <w:t>condRRCReconfig</w:t>
      </w:r>
      <w:r w:rsidRPr="001E0C40">
        <w:rPr>
          <w:b/>
          <w:bCs/>
          <w:sz w:val="22"/>
          <w:szCs w:val="22"/>
        </w:rPr>
        <w:t xml:space="preserve"> is in MN format.</w:t>
      </w:r>
    </w:p>
    <w:p w14:paraId="386CE8CA" w14:textId="77777777" w:rsidR="006D0BA5" w:rsidRPr="00EB3B5F" w:rsidRDefault="006D0BA5" w:rsidP="006D0BA5">
      <w:pPr>
        <w:jc w:val="both"/>
        <w:rPr>
          <w:b/>
          <w:bCs/>
          <w:sz w:val="22"/>
          <w:szCs w:val="22"/>
        </w:rPr>
      </w:pPr>
      <w:r w:rsidRPr="00EB3B5F">
        <w:rPr>
          <w:b/>
          <w:bCs/>
          <w:sz w:val="22"/>
          <w:szCs w:val="22"/>
        </w:rPr>
        <w:t xml:space="preserve">Proposal 4: When both CHO and CPC conditions are met, the UE applies the </w:t>
      </w:r>
      <w:r w:rsidRPr="00EB3B5F">
        <w:rPr>
          <w:b/>
          <w:bCs/>
          <w:i/>
          <w:iCs/>
          <w:sz w:val="22"/>
          <w:szCs w:val="22"/>
        </w:rPr>
        <w:t>RRCReconfiguration</w:t>
      </w:r>
      <w:r w:rsidRPr="00EB3B5F">
        <w:rPr>
          <w:b/>
          <w:bCs/>
          <w:sz w:val="22"/>
          <w:szCs w:val="22"/>
        </w:rPr>
        <w:t>* message (also including target SCG configuration</w:t>
      </w:r>
      <w:r>
        <w:rPr>
          <w:b/>
          <w:bCs/>
          <w:sz w:val="22"/>
          <w:szCs w:val="22"/>
        </w:rPr>
        <w:t xml:space="preserve"> </w:t>
      </w:r>
      <w:r w:rsidRPr="00EB3B5F">
        <w:rPr>
          <w:b/>
          <w:bCs/>
          <w:sz w:val="22"/>
          <w:szCs w:val="22"/>
        </w:rPr>
        <w:t>corresponding to the selected candidate P</w:t>
      </w:r>
      <w:r>
        <w:rPr>
          <w:b/>
          <w:bCs/>
          <w:sz w:val="22"/>
          <w:szCs w:val="22"/>
        </w:rPr>
        <w:t>S</w:t>
      </w:r>
      <w:r w:rsidRPr="00EB3B5F">
        <w:rPr>
          <w:b/>
          <w:bCs/>
          <w:sz w:val="22"/>
          <w:szCs w:val="22"/>
        </w:rPr>
        <w:t xml:space="preserve">Cell) corresponding to the selected candidate PCell, and sends an MN </w:t>
      </w:r>
      <w:r w:rsidRPr="00EB3B5F">
        <w:rPr>
          <w:b/>
          <w:bCs/>
          <w:i/>
          <w:iCs/>
          <w:sz w:val="22"/>
          <w:szCs w:val="22"/>
        </w:rPr>
        <w:t>RRCReconfigurationComplete</w:t>
      </w:r>
      <w:r w:rsidRPr="00EB3B5F">
        <w:rPr>
          <w:b/>
          <w:bCs/>
          <w:sz w:val="22"/>
          <w:szCs w:val="22"/>
        </w:rPr>
        <w:t xml:space="preserve">* message, including an NR </w:t>
      </w:r>
      <w:r w:rsidRPr="00EB3B5F">
        <w:rPr>
          <w:b/>
          <w:bCs/>
          <w:i/>
          <w:iCs/>
          <w:sz w:val="22"/>
          <w:szCs w:val="22"/>
        </w:rPr>
        <w:t>RRCReconfigurationComplete</w:t>
      </w:r>
      <w:r w:rsidRPr="00EB3B5F">
        <w:rPr>
          <w:b/>
          <w:bCs/>
          <w:sz w:val="22"/>
          <w:szCs w:val="22"/>
        </w:rPr>
        <w:t>** message for the selected candidate PSCell.</w:t>
      </w:r>
    </w:p>
    <w:p w14:paraId="452B711D" w14:textId="77777777" w:rsidR="006D0BA5" w:rsidRPr="00EB3B5F" w:rsidRDefault="006D0BA5" w:rsidP="006D0BA5">
      <w:pPr>
        <w:jc w:val="both"/>
        <w:rPr>
          <w:b/>
          <w:bCs/>
          <w:sz w:val="22"/>
          <w:szCs w:val="22"/>
        </w:rPr>
      </w:pPr>
      <w:r w:rsidRPr="00EB3B5F">
        <w:rPr>
          <w:b/>
          <w:bCs/>
          <w:sz w:val="22"/>
          <w:szCs w:val="22"/>
        </w:rPr>
        <w:t>Proposal 5: RACH towards target PSCell should be after the successful RACH towards target PCell.</w:t>
      </w:r>
    </w:p>
    <w:p w14:paraId="2CF34732" w14:textId="77777777" w:rsidR="006D0BA5" w:rsidRPr="00142BB2" w:rsidRDefault="006D0BA5" w:rsidP="006D0BA5">
      <w:pPr>
        <w:jc w:val="both"/>
        <w:rPr>
          <w:b/>
          <w:bCs/>
          <w:sz w:val="22"/>
          <w:szCs w:val="22"/>
        </w:rPr>
      </w:pPr>
      <w:r w:rsidRPr="00142BB2">
        <w:rPr>
          <w:b/>
          <w:bCs/>
          <w:sz w:val="22"/>
          <w:szCs w:val="22"/>
        </w:rPr>
        <w:t xml:space="preserve">Proposal </w:t>
      </w:r>
      <w:r>
        <w:rPr>
          <w:b/>
          <w:bCs/>
          <w:sz w:val="22"/>
          <w:szCs w:val="22"/>
        </w:rPr>
        <w:t>6</w:t>
      </w:r>
      <w:r w:rsidRPr="00142BB2">
        <w:rPr>
          <w:b/>
          <w:bCs/>
          <w:sz w:val="22"/>
          <w:szCs w:val="22"/>
        </w:rPr>
        <w:t xml:space="preserve">: </w:t>
      </w:r>
      <w:r w:rsidRPr="00A332E3">
        <w:rPr>
          <w:b/>
          <w:bCs/>
          <w:sz w:val="22"/>
          <w:szCs w:val="22"/>
        </w:rPr>
        <w:t>When CHO condition is met, but CPC condition is not met</w:t>
      </w:r>
      <w:r>
        <w:rPr>
          <w:b/>
          <w:bCs/>
          <w:sz w:val="22"/>
          <w:szCs w:val="22"/>
        </w:rPr>
        <w:t>,</w:t>
      </w:r>
      <w:r w:rsidRPr="00A332E3">
        <w:rPr>
          <w:b/>
          <w:bCs/>
          <w:sz w:val="22"/>
          <w:szCs w:val="22"/>
        </w:rPr>
        <w:t xml:space="preserve"> </w:t>
      </w:r>
      <w:r>
        <w:rPr>
          <w:b/>
          <w:bCs/>
          <w:sz w:val="22"/>
          <w:szCs w:val="22"/>
        </w:rPr>
        <w:t>CHO execution is triggered and i</w:t>
      </w:r>
      <w:r w:rsidRPr="00031842">
        <w:rPr>
          <w:b/>
          <w:bCs/>
          <w:sz w:val="22"/>
          <w:szCs w:val="22"/>
        </w:rPr>
        <w:t xml:space="preserve">t’s up to target MN to indicate a </w:t>
      </w:r>
      <w:r w:rsidRPr="00031842">
        <w:rPr>
          <w:b/>
          <w:bCs/>
          <w:i/>
          <w:iCs/>
          <w:sz w:val="22"/>
          <w:szCs w:val="22"/>
        </w:rPr>
        <w:t>ReconfWithSync</w:t>
      </w:r>
      <w:r w:rsidRPr="00031842">
        <w:rPr>
          <w:b/>
          <w:bCs/>
          <w:sz w:val="22"/>
          <w:szCs w:val="22"/>
        </w:rPr>
        <w:t xml:space="preserve"> for</w:t>
      </w:r>
      <w:r>
        <w:rPr>
          <w:b/>
          <w:bCs/>
          <w:sz w:val="22"/>
          <w:szCs w:val="22"/>
        </w:rPr>
        <w:t xml:space="preserve"> source</w:t>
      </w:r>
      <w:r w:rsidRPr="00031842">
        <w:rPr>
          <w:b/>
          <w:bCs/>
          <w:sz w:val="22"/>
          <w:szCs w:val="22"/>
        </w:rPr>
        <w:t xml:space="preserve"> SCG. And UE continues evaluation of CPC conditions.</w:t>
      </w:r>
    </w:p>
    <w:p w14:paraId="10E4E68A" w14:textId="77777777" w:rsidR="006D0BA5" w:rsidRPr="006D0BA5" w:rsidRDefault="006D0BA5" w:rsidP="00B85263">
      <w:pPr>
        <w:jc w:val="both"/>
        <w:rPr>
          <w:sz w:val="22"/>
          <w:szCs w:val="22"/>
          <w:u w:val="single"/>
          <w:lang w:val="en-US"/>
        </w:rPr>
      </w:pPr>
    </w:p>
    <w:p w14:paraId="23A1BDBB" w14:textId="4801F3ED" w:rsidR="006D0BA5" w:rsidRPr="006D0BA5" w:rsidRDefault="006D0BA5" w:rsidP="00B85263">
      <w:pPr>
        <w:jc w:val="both"/>
        <w:rPr>
          <w:sz w:val="22"/>
          <w:szCs w:val="22"/>
          <w:u w:val="single"/>
          <w:lang w:val="en-US"/>
        </w:rPr>
      </w:pPr>
      <w:r w:rsidRPr="006D0BA5">
        <w:rPr>
          <w:sz w:val="22"/>
          <w:szCs w:val="22"/>
          <w:u w:val="single"/>
          <w:lang w:val="en-US"/>
        </w:rPr>
        <w:t>Simultaneous evaluation of CHO and CPA:</w:t>
      </w:r>
    </w:p>
    <w:p w14:paraId="2DDE4E1A" w14:textId="3C95853A" w:rsidR="006D0BA5" w:rsidRPr="0086444B" w:rsidRDefault="006D0BA5" w:rsidP="006D0BA5">
      <w:pPr>
        <w:jc w:val="both"/>
        <w:rPr>
          <w:b/>
          <w:bCs/>
          <w:sz w:val="22"/>
          <w:szCs w:val="22"/>
        </w:rPr>
      </w:pPr>
      <w:r w:rsidRPr="0086444B">
        <w:rPr>
          <w:b/>
          <w:bCs/>
          <w:sz w:val="22"/>
          <w:szCs w:val="22"/>
        </w:rPr>
        <w:t>Proposal 7: RAN2 agrees to support the simultaneous evaluation of CHO and CPA in Rel-18</w:t>
      </w:r>
      <w:r w:rsidR="00F8339D">
        <w:rPr>
          <w:b/>
          <w:bCs/>
          <w:sz w:val="22"/>
          <w:szCs w:val="22"/>
        </w:rPr>
        <w:t>.</w:t>
      </w:r>
    </w:p>
    <w:p w14:paraId="47F610CA" w14:textId="4A8C49E5" w:rsidR="006D0BA5" w:rsidRPr="00CD7C7A" w:rsidRDefault="006D0BA5" w:rsidP="006D0BA5">
      <w:pPr>
        <w:rPr>
          <w:b/>
          <w:bCs/>
          <w:sz w:val="22"/>
          <w:szCs w:val="22"/>
        </w:rPr>
      </w:pPr>
      <w:r w:rsidRPr="00CD7C7A">
        <w:rPr>
          <w:b/>
          <w:bCs/>
          <w:sz w:val="22"/>
          <w:szCs w:val="22"/>
        </w:rPr>
        <w:t xml:space="preserve">Proposal </w:t>
      </w:r>
      <w:r w:rsidR="00C84E1A">
        <w:rPr>
          <w:b/>
          <w:bCs/>
          <w:sz w:val="22"/>
          <w:szCs w:val="22"/>
        </w:rPr>
        <w:t>8</w:t>
      </w:r>
      <w:r w:rsidRPr="00CD7C7A">
        <w:rPr>
          <w:b/>
          <w:bCs/>
          <w:sz w:val="22"/>
          <w:szCs w:val="22"/>
        </w:rPr>
        <w:t>:</w:t>
      </w:r>
      <w:r w:rsidRPr="00CD7C7A">
        <w:rPr>
          <w:b/>
          <w:bCs/>
        </w:rPr>
        <w:t xml:space="preserve"> the </w:t>
      </w:r>
      <w:r w:rsidRPr="00CD7C7A">
        <w:rPr>
          <w:b/>
          <w:bCs/>
          <w:sz w:val="22"/>
          <w:szCs w:val="22"/>
        </w:rPr>
        <w:t xml:space="preserve">detailed design </w:t>
      </w:r>
      <w:r>
        <w:rPr>
          <w:b/>
          <w:bCs/>
          <w:sz w:val="22"/>
          <w:szCs w:val="22"/>
        </w:rPr>
        <w:t>of</w:t>
      </w:r>
      <w:r w:rsidRPr="00CD7C7A">
        <w:rPr>
          <w:b/>
          <w:bCs/>
          <w:sz w:val="22"/>
          <w:szCs w:val="22"/>
        </w:rPr>
        <w:t xml:space="preserve"> CHO including CPC can be reused as much as possible for CHO including CPA.</w:t>
      </w:r>
    </w:p>
    <w:p w14:paraId="40D2AC7F" w14:textId="77777777" w:rsidR="006F1EB1" w:rsidRDefault="006F1EB1" w:rsidP="00932F0E">
      <w:pPr>
        <w:rPr>
          <w:b/>
          <w:bCs/>
          <w:sz w:val="22"/>
          <w:szCs w:val="22"/>
        </w:rPr>
      </w:pPr>
    </w:p>
    <w:p w14:paraId="70D75F2F" w14:textId="08C7F7A2" w:rsidR="00344C56" w:rsidRDefault="00344C56" w:rsidP="00826C92">
      <w:pPr>
        <w:pStyle w:val="Heading1"/>
        <w:numPr>
          <w:ilvl w:val="0"/>
          <w:numId w:val="1"/>
        </w:numPr>
      </w:pPr>
      <w:r>
        <w:t>Reference</w:t>
      </w:r>
      <w:r w:rsidR="00F70374">
        <w:t>s</w:t>
      </w:r>
    </w:p>
    <w:p w14:paraId="7692724E" w14:textId="3905F0C2" w:rsidR="009F0C6E" w:rsidRDefault="0015203B" w:rsidP="0015203B">
      <w:pPr>
        <w:ind w:left="1440" w:hanging="1440"/>
        <w:rPr>
          <w:sz w:val="22"/>
          <w:szCs w:val="22"/>
        </w:rPr>
      </w:pPr>
      <w:r>
        <w:rPr>
          <w:sz w:val="22"/>
          <w:szCs w:val="22"/>
        </w:rPr>
        <w:t>[</w:t>
      </w:r>
      <w:r w:rsidR="00F764EE">
        <w:rPr>
          <w:sz w:val="22"/>
          <w:szCs w:val="22"/>
        </w:rPr>
        <w:t>1</w:t>
      </w:r>
      <w:r>
        <w:rPr>
          <w:sz w:val="22"/>
          <w:szCs w:val="22"/>
        </w:rPr>
        <w:t xml:space="preserve">] </w:t>
      </w:r>
      <w:r w:rsidR="004D2705">
        <w:rPr>
          <w:sz w:val="22"/>
          <w:szCs w:val="22"/>
        </w:rPr>
        <w:t>RP-221799</w:t>
      </w:r>
      <w:r w:rsidR="00F764EE" w:rsidRPr="00F764EE">
        <w:rPr>
          <w:sz w:val="22"/>
          <w:szCs w:val="22"/>
        </w:rPr>
        <w:tab/>
      </w:r>
      <w:r w:rsidR="00F764EE">
        <w:rPr>
          <w:sz w:val="22"/>
          <w:szCs w:val="22"/>
        </w:rPr>
        <w:tab/>
      </w:r>
      <w:r w:rsidR="004D2705" w:rsidRPr="004D2705">
        <w:rPr>
          <w:sz w:val="22"/>
          <w:szCs w:val="22"/>
        </w:rPr>
        <w:t>Revised WID on Further NR mobility enhancements</w:t>
      </w:r>
      <w:r w:rsidR="004D2705">
        <w:rPr>
          <w:sz w:val="22"/>
          <w:szCs w:val="22"/>
        </w:rPr>
        <w:tab/>
      </w:r>
      <w:r w:rsidR="004D2705" w:rsidRPr="004D2705">
        <w:rPr>
          <w:sz w:val="22"/>
          <w:szCs w:val="22"/>
        </w:rPr>
        <w:t>MediaTek Inc.</w:t>
      </w:r>
    </w:p>
    <w:p w14:paraId="237EE964" w14:textId="394B0ADA" w:rsidR="00A50496" w:rsidRDefault="00A50496" w:rsidP="0015203B">
      <w:pPr>
        <w:ind w:left="1440" w:hanging="1440"/>
        <w:rPr>
          <w:sz w:val="22"/>
          <w:szCs w:val="22"/>
        </w:rPr>
      </w:pPr>
    </w:p>
    <w:sectPr w:rsidR="00A50496" w:rsidSect="00FC3C7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22D6D" w14:textId="77777777" w:rsidR="00294D7B" w:rsidRDefault="00294D7B" w:rsidP="00DD7929">
      <w:pPr>
        <w:spacing w:after="0"/>
      </w:pPr>
      <w:r>
        <w:separator/>
      </w:r>
    </w:p>
  </w:endnote>
  <w:endnote w:type="continuationSeparator" w:id="0">
    <w:p w14:paraId="30EC4AD7" w14:textId="77777777" w:rsidR="00294D7B" w:rsidRDefault="00294D7B" w:rsidP="00DD7929">
      <w:pPr>
        <w:spacing w:after="0"/>
      </w:pPr>
      <w:r>
        <w:continuationSeparator/>
      </w:r>
    </w:p>
  </w:endnote>
  <w:endnote w:type="continuationNotice" w:id="1">
    <w:p w14:paraId="3B025653" w14:textId="77777777" w:rsidR="00294D7B" w:rsidRDefault="00294D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13961F" w14:textId="77777777" w:rsidR="00294D7B" w:rsidRDefault="00294D7B" w:rsidP="00DD7929">
      <w:pPr>
        <w:spacing w:after="0"/>
      </w:pPr>
      <w:r>
        <w:separator/>
      </w:r>
    </w:p>
  </w:footnote>
  <w:footnote w:type="continuationSeparator" w:id="0">
    <w:p w14:paraId="14FDA74E" w14:textId="77777777" w:rsidR="00294D7B" w:rsidRDefault="00294D7B" w:rsidP="00DD7929">
      <w:pPr>
        <w:spacing w:after="0"/>
      </w:pPr>
      <w:r>
        <w:continuationSeparator/>
      </w:r>
    </w:p>
  </w:footnote>
  <w:footnote w:type="continuationNotice" w:id="1">
    <w:p w14:paraId="6D438FAB" w14:textId="77777777" w:rsidR="00294D7B" w:rsidRDefault="00294D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42448"/>
    <w:multiLevelType w:val="hybridMultilevel"/>
    <w:tmpl w:val="346C5EE6"/>
    <w:lvl w:ilvl="0" w:tplc="D7DCB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FEE6182"/>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606DED"/>
    <w:multiLevelType w:val="hybridMultilevel"/>
    <w:tmpl w:val="F6526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BE1B94"/>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A4076"/>
    <w:multiLevelType w:val="hybridMultilevel"/>
    <w:tmpl w:val="FB84A234"/>
    <w:lvl w:ilvl="0" w:tplc="D41263B8">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E01AD"/>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B74ACE"/>
    <w:multiLevelType w:val="hybridMultilevel"/>
    <w:tmpl w:val="0EB6C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D41E7E"/>
    <w:multiLevelType w:val="hybridMultilevel"/>
    <w:tmpl w:val="FCBA3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3E167E"/>
    <w:multiLevelType w:val="hybridMultilevel"/>
    <w:tmpl w:val="4FAE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8C11F9"/>
    <w:multiLevelType w:val="hybridMultilevel"/>
    <w:tmpl w:val="64B26C04"/>
    <w:lvl w:ilvl="0" w:tplc="A6B036A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0227F"/>
    <w:multiLevelType w:val="hybridMultilevel"/>
    <w:tmpl w:val="25404AF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E421DEB"/>
    <w:multiLevelType w:val="multilevel"/>
    <w:tmpl w:val="7EC825AA"/>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4C674F9F"/>
    <w:multiLevelType w:val="hybridMultilevel"/>
    <w:tmpl w:val="BF663F94"/>
    <w:lvl w:ilvl="0" w:tplc="9948D0E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485B6E"/>
    <w:multiLevelType w:val="hybridMultilevel"/>
    <w:tmpl w:val="83A60D64"/>
    <w:lvl w:ilvl="0" w:tplc="D7DCBEC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6ADA7921"/>
    <w:multiLevelType w:val="hybridMultilevel"/>
    <w:tmpl w:val="52C83AEE"/>
    <w:lvl w:ilvl="0" w:tplc="A6B036A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1070D4"/>
    <w:multiLevelType w:val="hybridMultilevel"/>
    <w:tmpl w:val="04E888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4307CC"/>
    <w:multiLevelType w:val="hybridMultilevel"/>
    <w:tmpl w:val="BE4C1CA0"/>
    <w:lvl w:ilvl="0" w:tplc="0E4001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0819293">
    <w:abstractNumId w:val="12"/>
  </w:num>
  <w:num w:numId="2" w16cid:durableId="1018702615">
    <w:abstractNumId w:val="17"/>
  </w:num>
  <w:num w:numId="3" w16cid:durableId="1646005250">
    <w:abstractNumId w:val="3"/>
  </w:num>
  <w:num w:numId="4" w16cid:durableId="1922981439">
    <w:abstractNumId w:val="8"/>
  </w:num>
  <w:num w:numId="5" w16cid:durableId="1736051637">
    <w:abstractNumId w:val="6"/>
  </w:num>
  <w:num w:numId="6" w16cid:durableId="2046754888">
    <w:abstractNumId w:val="18"/>
  </w:num>
  <w:num w:numId="7" w16cid:durableId="699160705">
    <w:abstractNumId w:val="15"/>
  </w:num>
  <w:num w:numId="8" w16cid:durableId="1350987086">
    <w:abstractNumId w:val="1"/>
  </w:num>
  <w:num w:numId="9" w16cid:durableId="588657418">
    <w:abstractNumId w:val="13"/>
  </w:num>
  <w:num w:numId="10" w16cid:durableId="1615479947">
    <w:abstractNumId w:val="7"/>
  </w:num>
  <w:num w:numId="11" w16cid:durableId="580061547">
    <w:abstractNumId w:val="5"/>
  </w:num>
  <w:num w:numId="12" w16cid:durableId="458381947">
    <w:abstractNumId w:val="2"/>
  </w:num>
  <w:num w:numId="13" w16cid:durableId="2136177110">
    <w:abstractNumId w:val="9"/>
  </w:num>
  <w:num w:numId="14" w16cid:durableId="1215191717">
    <w:abstractNumId w:val="11"/>
  </w:num>
  <w:num w:numId="15" w16cid:durableId="1906842418">
    <w:abstractNumId w:val="14"/>
  </w:num>
  <w:num w:numId="16" w16cid:durableId="2139958127">
    <w:abstractNumId w:val="0"/>
  </w:num>
  <w:num w:numId="17" w16cid:durableId="644774134">
    <w:abstractNumId w:val="4"/>
  </w:num>
  <w:num w:numId="18" w16cid:durableId="702557356">
    <w:abstractNumId w:val="19"/>
  </w:num>
  <w:num w:numId="19" w16cid:durableId="2088111096">
    <w:abstractNumId w:val="16"/>
  </w:num>
  <w:num w:numId="20" w16cid:durableId="1846094668">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15B4"/>
    <w:rsid w:val="00002C0F"/>
    <w:rsid w:val="000032A7"/>
    <w:rsid w:val="000032E5"/>
    <w:rsid w:val="00004681"/>
    <w:rsid w:val="00004C90"/>
    <w:rsid w:val="0000548E"/>
    <w:rsid w:val="00005DEF"/>
    <w:rsid w:val="00007120"/>
    <w:rsid w:val="00007AD5"/>
    <w:rsid w:val="00010FA4"/>
    <w:rsid w:val="000121BE"/>
    <w:rsid w:val="00013C53"/>
    <w:rsid w:val="0001413C"/>
    <w:rsid w:val="00017A21"/>
    <w:rsid w:val="000217A3"/>
    <w:rsid w:val="000223C8"/>
    <w:rsid w:val="00022625"/>
    <w:rsid w:val="0002271C"/>
    <w:rsid w:val="00023715"/>
    <w:rsid w:val="00026530"/>
    <w:rsid w:val="00026557"/>
    <w:rsid w:val="0002752D"/>
    <w:rsid w:val="000305BC"/>
    <w:rsid w:val="00031842"/>
    <w:rsid w:val="000326C8"/>
    <w:rsid w:val="000340D5"/>
    <w:rsid w:val="00034B89"/>
    <w:rsid w:val="0003549F"/>
    <w:rsid w:val="0003727E"/>
    <w:rsid w:val="000372D8"/>
    <w:rsid w:val="00037965"/>
    <w:rsid w:val="00037AB6"/>
    <w:rsid w:val="0004058E"/>
    <w:rsid w:val="00041806"/>
    <w:rsid w:val="00041C4F"/>
    <w:rsid w:val="00041E00"/>
    <w:rsid w:val="000433B7"/>
    <w:rsid w:val="00045DC1"/>
    <w:rsid w:val="00046488"/>
    <w:rsid w:val="0005139D"/>
    <w:rsid w:val="0005165D"/>
    <w:rsid w:val="00051A67"/>
    <w:rsid w:val="00053430"/>
    <w:rsid w:val="00053CAF"/>
    <w:rsid w:val="000550D1"/>
    <w:rsid w:val="00055498"/>
    <w:rsid w:val="00057C99"/>
    <w:rsid w:val="00057FF2"/>
    <w:rsid w:val="00060FE5"/>
    <w:rsid w:val="00061387"/>
    <w:rsid w:val="00061EED"/>
    <w:rsid w:val="00064483"/>
    <w:rsid w:val="000648A8"/>
    <w:rsid w:val="00066562"/>
    <w:rsid w:val="000701F1"/>
    <w:rsid w:val="0007113E"/>
    <w:rsid w:val="000711DC"/>
    <w:rsid w:val="00073744"/>
    <w:rsid w:val="00074D6F"/>
    <w:rsid w:val="00074E30"/>
    <w:rsid w:val="00074F91"/>
    <w:rsid w:val="00076825"/>
    <w:rsid w:val="0008020D"/>
    <w:rsid w:val="00080AA4"/>
    <w:rsid w:val="00080F8F"/>
    <w:rsid w:val="00082009"/>
    <w:rsid w:val="00082023"/>
    <w:rsid w:val="00082C66"/>
    <w:rsid w:val="00083979"/>
    <w:rsid w:val="00084A7C"/>
    <w:rsid w:val="00085805"/>
    <w:rsid w:val="00085CBE"/>
    <w:rsid w:val="0009141B"/>
    <w:rsid w:val="00091D9D"/>
    <w:rsid w:val="0009348A"/>
    <w:rsid w:val="00094334"/>
    <w:rsid w:val="000943C4"/>
    <w:rsid w:val="000A087B"/>
    <w:rsid w:val="000A108E"/>
    <w:rsid w:val="000A2A16"/>
    <w:rsid w:val="000A2DA9"/>
    <w:rsid w:val="000A462E"/>
    <w:rsid w:val="000A5916"/>
    <w:rsid w:val="000A72EB"/>
    <w:rsid w:val="000B0353"/>
    <w:rsid w:val="000B1579"/>
    <w:rsid w:val="000B183F"/>
    <w:rsid w:val="000B62A2"/>
    <w:rsid w:val="000B6521"/>
    <w:rsid w:val="000B652C"/>
    <w:rsid w:val="000B6A15"/>
    <w:rsid w:val="000B6A97"/>
    <w:rsid w:val="000B7214"/>
    <w:rsid w:val="000B7F7F"/>
    <w:rsid w:val="000C09C6"/>
    <w:rsid w:val="000C18B4"/>
    <w:rsid w:val="000C2577"/>
    <w:rsid w:val="000C31DB"/>
    <w:rsid w:val="000C31E0"/>
    <w:rsid w:val="000C495D"/>
    <w:rsid w:val="000C5162"/>
    <w:rsid w:val="000C631B"/>
    <w:rsid w:val="000C728E"/>
    <w:rsid w:val="000D1350"/>
    <w:rsid w:val="000D1399"/>
    <w:rsid w:val="000D194E"/>
    <w:rsid w:val="000D2F52"/>
    <w:rsid w:val="000D3BD6"/>
    <w:rsid w:val="000D412F"/>
    <w:rsid w:val="000D5A70"/>
    <w:rsid w:val="000D6F27"/>
    <w:rsid w:val="000D75A3"/>
    <w:rsid w:val="000E07EE"/>
    <w:rsid w:val="000E1282"/>
    <w:rsid w:val="000E139A"/>
    <w:rsid w:val="000E1C07"/>
    <w:rsid w:val="000E2C6D"/>
    <w:rsid w:val="000E65B5"/>
    <w:rsid w:val="000E66B7"/>
    <w:rsid w:val="000E684B"/>
    <w:rsid w:val="000E760F"/>
    <w:rsid w:val="000F1CE8"/>
    <w:rsid w:val="000F3CEF"/>
    <w:rsid w:val="000F4BA0"/>
    <w:rsid w:val="000F6981"/>
    <w:rsid w:val="000F7973"/>
    <w:rsid w:val="001002A7"/>
    <w:rsid w:val="001013D3"/>
    <w:rsid w:val="0010160E"/>
    <w:rsid w:val="001017B8"/>
    <w:rsid w:val="00101A72"/>
    <w:rsid w:val="00102F76"/>
    <w:rsid w:val="001030D8"/>
    <w:rsid w:val="00103307"/>
    <w:rsid w:val="00104CFA"/>
    <w:rsid w:val="00104FE8"/>
    <w:rsid w:val="00106ABA"/>
    <w:rsid w:val="00106BC4"/>
    <w:rsid w:val="00106F86"/>
    <w:rsid w:val="001110DC"/>
    <w:rsid w:val="001120DB"/>
    <w:rsid w:val="00113930"/>
    <w:rsid w:val="00113BFE"/>
    <w:rsid w:val="0011474B"/>
    <w:rsid w:val="001156FB"/>
    <w:rsid w:val="00115CCC"/>
    <w:rsid w:val="00124335"/>
    <w:rsid w:val="00125BD7"/>
    <w:rsid w:val="0013285B"/>
    <w:rsid w:val="00133A31"/>
    <w:rsid w:val="00134074"/>
    <w:rsid w:val="00134120"/>
    <w:rsid w:val="00134957"/>
    <w:rsid w:val="00135F16"/>
    <w:rsid w:val="00137C7F"/>
    <w:rsid w:val="001401DE"/>
    <w:rsid w:val="0014119B"/>
    <w:rsid w:val="00142BB2"/>
    <w:rsid w:val="00142E8B"/>
    <w:rsid w:val="0014360E"/>
    <w:rsid w:val="00143A18"/>
    <w:rsid w:val="0014470F"/>
    <w:rsid w:val="00144AB5"/>
    <w:rsid w:val="00146295"/>
    <w:rsid w:val="00147329"/>
    <w:rsid w:val="00147A98"/>
    <w:rsid w:val="00147E68"/>
    <w:rsid w:val="0015051A"/>
    <w:rsid w:val="00150908"/>
    <w:rsid w:val="0015152C"/>
    <w:rsid w:val="00151F1C"/>
    <w:rsid w:val="0015203B"/>
    <w:rsid w:val="0015259F"/>
    <w:rsid w:val="00153512"/>
    <w:rsid w:val="00154516"/>
    <w:rsid w:val="00154665"/>
    <w:rsid w:val="001567AD"/>
    <w:rsid w:val="0016090C"/>
    <w:rsid w:val="00165EDA"/>
    <w:rsid w:val="001660D1"/>
    <w:rsid w:val="00167FC9"/>
    <w:rsid w:val="00170383"/>
    <w:rsid w:val="0017083B"/>
    <w:rsid w:val="001719C1"/>
    <w:rsid w:val="0017222C"/>
    <w:rsid w:val="00173B3A"/>
    <w:rsid w:val="001743C4"/>
    <w:rsid w:val="00174969"/>
    <w:rsid w:val="00174A35"/>
    <w:rsid w:val="00174C46"/>
    <w:rsid w:val="00175030"/>
    <w:rsid w:val="001753FE"/>
    <w:rsid w:val="001771B5"/>
    <w:rsid w:val="001772FB"/>
    <w:rsid w:val="00177E83"/>
    <w:rsid w:val="00181F68"/>
    <w:rsid w:val="00185008"/>
    <w:rsid w:val="001852C6"/>
    <w:rsid w:val="00185D7F"/>
    <w:rsid w:val="00186A90"/>
    <w:rsid w:val="00190069"/>
    <w:rsid w:val="00191BF3"/>
    <w:rsid w:val="00192188"/>
    <w:rsid w:val="00194E82"/>
    <w:rsid w:val="001966B4"/>
    <w:rsid w:val="0019688D"/>
    <w:rsid w:val="0019776A"/>
    <w:rsid w:val="00197A6A"/>
    <w:rsid w:val="00197B66"/>
    <w:rsid w:val="001A163D"/>
    <w:rsid w:val="001A2090"/>
    <w:rsid w:val="001A3DAA"/>
    <w:rsid w:val="001A47E4"/>
    <w:rsid w:val="001A4BCF"/>
    <w:rsid w:val="001A4C40"/>
    <w:rsid w:val="001A6D16"/>
    <w:rsid w:val="001A7CA9"/>
    <w:rsid w:val="001A7EE7"/>
    <w:rsid w:val="001B1369"/>
    <w:rsid w:val="001B1456"/>
    <w:rsid w:val="001B1528"/>
    <w:rsid w:val="001B158D"/>
    <w:rsid w:val="001B23DB"/>
    <w:rsid w:val="001B2A13"/>
    <w:rsid w:val="001B3EB5"/>
    <w:rsid w:val="001B438E"/>
    <w:rsid w:val="001B6A43"/>
    <w:rsid w:val="001B77E8"/>
    <w:rsid w:val="001C0A7A"/>
    <w:rsid w:val="001C0B95"/>
    <w:rsid w:val="001C20AA"/>
    <w:rsid w:val="001C371E"/>
    <w:rsid w:val="001C3E69"/>
    <w:rsid w:val="001C3EA4"/>
    <w:rsid w:val="001C409F"/>
    <w:rsid w:val="001C616E"/>
    <w:rsid w:val="001D0302"/>
    <w:rsid w:val="001D0410"/>
    <w:rsid w:val="001D0BBF"/>
    <w:rsid w:val="001D4710"/>
    <w:rsid w:val="001D5AC8"/>
    <w:rsid w:val="001E0108"/>
    <w:rsid w:val="001E0C40"/>
    <w:rsid w:val="001E38EE"/>
    <w:rsid w:val="001E3F6D"/>
    <w:rsid w:val="001E4477"/>
    <w:rsid w:val="001E4DFD"/>
    <w:rsid w:val="001E4E20"/>
    <w:rsid w:val="001E4FB9"/>
    <w:rsid w:val="001E5908"/>
    <w:rsid w:val="001E6A68"/>
    <w:rsid w:val="001E7080"/>
    <w:rsid w:val="001F1A02"/>
    <w:rsid w:val="001F2B40"/>
    <w:rsid w:val="001F3EA7"/>
    <w:rsid w:val="001F4708"/>
    <w:rsid w:val="001F6228"/>
    <w:rsid w:val="001F7561"/>
    <w:rsid w:val="001F7722"/>
    <w:rsid w:val="001F7796"/>
    <w:rsid w:val="00200792"/>
    <w:rsid w:val="00200A41"/>
    <w:rsid w:val="00201241"/>
    <w:rsid w:val="0020420D"/>
    <w:rsid w:val="002046B6"/>
    <w:rsid w:val="00205EE5"/>
    <w:rsid w:val="002064AD"/>
    <w:rsid w:val="00207C66"/>
    <w:rsid w:val="00207E84"/>
    <w:rsid w:val="0021028E"/>
    <w:rsid w:val="00210698"/>
    <w:rsid w:val="0021130F"/>
    <w:rsid w:val="00215DD9"/>
    <w:rsid w:val="00215E9E"/>
    <w:rsid w:val="00217213"/>
    <w:rsid w:val="00217E5C"/>
    <w:rsid w:val="00220312"/>
    <w:rsid w:val="00221806"/>
    <w:rsid w:val="002221DE"/>
    <w:rsid w:val="0022245E"/>
    <w:rsid w:val="0022320F"/>
    <w:rsid w:val="0022376B"/>
    <w:rsid w:val="002249A1"/>
    <w:rsid w:val="00225113"/>
    <w:rsid w:val="002253C7"/>
    <w:rsid w:val="00225922"/>
    <w:rsid w:val="0022631C"/>
    <w:rsid w:val="002267BE"/>
    <w:rsid w:val="00227F97"/>
    <w:rsid w:val="00230A51"/>
    <w:rsid w:val="00230C91"/>
    <w:rsid w:val="00233096"/>
    <w:rsid w:val="00233934"/>
    <w:rsid w:val="00235CC1"/>
    <w:rsid w:val="0023626B"/>
    <w:rsid w:val="00236584"/>
    <w:rsid w:val="002372AA"/>
    <w:rsid w:val="00241A65"/>
    <w:rsid w:val="00244523"/>
    <w:rsid w:val="00244F38"/>
    <w:rsid w:val="00245419"/>
    <w:rsid w:val="00245444"/>
    <w:rsid w:val="00245558"/>
    <w:rsid w:val="00245B02"/>
    <w:rsid w:val="00245FD5"/>
    <w:rsid w:val="00246159"/>
    <w:rsid w:val="00250C13"/>
    <w:rsid w:val="0025105E"/>
    <w:rsid w:val="00251C30"/>
    <w:rsid w:val="00251E8C"/>
    <w:rsid w:val="00251F6E"/>
    <w:rsid w:val="0025531E"/>
    <w:rsid w:val="00256178"/>
    <w:rsid w:val="002565B9"/>
    <w:rsid w:val="00256C02"/>
    <w:rsid w:val="00257E4C"/>
    <w:rsid w:val="00260906"/>
    <w:rsid w:val="00265960"/>
    <w:rsid w:val="00265EDF"/>
    <w:rsid w:val="00267518"/>
    <w:rsid w:val="00271095"/>
    <w:rsid w:val="002716BD"/>
    <w:rsid w:val="00271D53"/>
    <w:rsid w:val="00273767"/>
    <w:rsid w:val="00273A34"/>
    <w:rsid w:val="00273D61"/>
    <w:rsid w:val="00274532"/>
    <w:rsid w:val="00274DED"/>
    <w:rsid w:val="002761C6"/>
    <w:rsid w:val="00276A9B"/>
    <w:rsid w:val="00280F99"/>
    <w:rsid w:val="002814D8"/>
    <w:rsid w:val="002835F4"/>
    <w:rsid w:val="00283922"/>
    <w:rsid w:val="00283DF5"/>
    <w:rsid w:val="002871B0"/>
    <w:rsid w:val="002918A4"/>
    <w:rsid w:val="0029237D"/>
    <w:rsid w:val="00294A0F"/>
    <w:rsid w:val="00294D7B"/>
    <w:rsid w:val="002958D5"/>
    <w:rsid w:val="00297960"/>
    <w:rsid w:val="002A0D8D"/>
    <w:rsid w:val="002A160F"/>
    <w:rsid w:val="002A2BB2"/>
    <w:rsid w:val="002A3342"/>
    <w:rsid w:val="002A45C4"/>
    <w:rsid w:val="002A4862"/>
    <w:rsid w:val="002A5DA7"/>
    <w:rsid w:val="002A7383"/>
    <w:rsid w:val="002B0224"/>
    <w:rsid w:val="002B1B1C"/>
    <w:rsid w:val="002B27D4"/>
    <w:rsid w:val="002B2CAA"/>
    <w:rsid w:val="002B3213"/>
    <w:rsid w:val="002B480E"/>
    <w:rsid w:val="002B51CF"/>
    <w:rsid w:val="002B6755"/>
    <w:rsid w:val="002B6BE5"/>
    <w:rsid w:val="002B6E6A"/>
    <w:rsid w:val="002B75A3"/>
    <w:rsid w:val="002C1475"/>
    <w:rsid w:val="002C2178"/>
    <w:rsid w:val="002C2B8E"/>
    <w:rsid w:val="002C3425"/>
    <w:rsid w:val="002C3854"/>
    <w:rsid w:val="002C40FE"/>
    <w:rsid w:val="002C4433"/>
    <w:rsid w:val="002C4F7A"/>
    <w:rsid w:val="002C6CCD"/>
    <w:rsid w:val="002C7604"/>
    <w:rsid w:val="002C7B4F"/>
    <w:rsid w:val="002D0320"/>
    <w:rsid w:val="002D19EF"/>
    <w:rsid w:val="002D25AC"/>
    <w:rsid w:val="002D39A9"/>
    <w:rsid w:val="002E04BA"/>
    <w:rsid w:val="002E16A1"/>
    <w:rsid w:val="002E176D"/>
    <w:rsid w:val="002E2239"/>
    <w:rsid w:val="002E2570"/>
    <w:rsid w:val="002E2C13"/>
    <w:rsid w:val="002E33B4"/>
    <w:rsid w:val="002E4E1F"/>
    <w:rsid w:val="002E6AC0"/>
    <w:rsid w:val="002F1379"/>
    <w:rsid w:val="002F3483"/>
    <w:rsid w:val="002F503D"/>
    <w:rsid w:val="002F6D51"/>
    <w:rsid w:val="002F7FE2"/>
    <w:rsid w:val="0030011E"/>
    <w:rsid w:val="00300593"/>
    <w:rsid w:val="00301F4C"/>
    <w:rsid w:val="003042F0"/>
    <w:rsid w:val="00304B3D"/>
    <w:rsid w:val="003050FE"/>
    <w:rsid w:val="00305798"/>
    <w:rsid w:val="0030591D"/>
    <w:rsid w:val="00305F13"/>
    <w:rsid w:val="003127F5"/>
    <w:rsid w:val="00312FAC"/>
    <w:rsid w:val="00313967"/>
    <w:rsid w:val="003141DD"/>
    <w:rsid w:val="003144C0"/>
    <w:rsid w:val="00315F89"/>
    <w:rsid w:val="0031711C"/>
    <w:rsid w:val="003174C9"/>
    <w:rsid w:val="0032111D"/>
    <w:rsid w:val="00321871"/>
    <w:rsid w:val="00321CE1"/>
    <w:rsid w:val="003225DD"/>
    <w:rsid w:val="00323BBE"/>
    <w:rsid w:val="0032642A"/>
    <w:rsid w:val="003269F7"/>
    <w:rsid w:val="00326D3D"/>
    <w:rsid w:val="00331FB3"/>
    <w:rsid w:val="0033308E"/>
    <w:rsid w:val="00334640"/>
    <w:rsid w:val="00334807"/>
    <w:rsid w:val="00334980"/>
    <w:rsid w:val="00336E6B"/>
    <w:rsid w:val="00340CC5"/>
    <w:rsid w:val="00341A3B"/>
    <w:rsid w:val="003420D3"/>
    <w:rsid w:val="00344C56"/>
    <w:rsid w:val="00344FFF"/>
    <w:rsid w:val="00347526"/>
    <w:rsid w:val="00347FD0"/>
    <w:rsid w:val="003502C2"/>
    <w:rsid w:val="003517F0"/>
    <w:rsid w:val="00352554"/>
    <w:rsid w:val="00352CC8"/>
    <w:rsid w:val="00357146"/>
    <w:rsid w:val="0036157E"/>
    <w:rsid w:val="00361F66"/>
    <w:rsid w:val="0036359B"/>
    <w:rsid w:val="00364730"/>
    <w:rsid w:val="0036490C"/>
    <w:rsid w:val="00364B50"/>
    <w:rsid w:val="00366CED"/>
    <w:rsid w:val="00367A4F"/>
    <w:rsid w:val="00367FB8"/>
    <w:rsid w:val="0037184B"/>
    <w:rsid w:val="00371B07"/>
    <w:rsid w:val="003724CC"/>
    <w:rsid w:val="00372DBC"/>
    <w:rsid w:val="00373226"/>
    <w:rsid w:val="003740C3"/>
    <w:rsid w:val="00375400"/>
    <w:rsid w:val="003764AC"/>
    <w:rsid w:val="003779C0"/>
    <w:rsid w:val="0038068C"/>
    <w:rsid w:val="00383597"/>
    <w:rsid w:val="003835C7"/>
    <w:rsid w:val="0038659F"/>
    <w:rsid w:val="0038762D"/>
    <w:rsid w:val="00387911"/>
    <w:rsid w:val="00387CD9"/>
    <w:rsid w:val="00390861"/>
    <w:rsid w:val="00391413"/>
    <w:rsid w:val="0039255F"/>
    <w:rsid w:val="003945FB"/>
    <w:rsid w:val="00394DDA"/>
    <w:rsid w:val="003951F7"/>
    <w:rsid w:val="00396071"/>
    <w:rsid w:val="00397352"/>
    <w:rsid w:val="003A04F1"/>
    <w:rsid w:val="003A05B1"/>
    <w:rsid w:val="003A10BD"/>
    <w:rsid w:val="003A1A7A"/>
    <w:rsid w:val="003A3408"/>
    <w:rsid w:val="003A41A1"/>
    <w:rsid w:val="003A450E"/>
    <w:rsid w:val="003A5437"/>
    <w:rsid w:val="003A5E0B"/>
    <w:rsid w:val="003B0069"/>
    <w:rsid w:val="003B092F"/>
    <w:rsid w:val="003B0B77"/>
    <w:rsid w:val="003B4302"/>
    <w:rsid w:val="003B4EF0"/>
    <w:rsid w:val="003B71EA"/>
    <w:rsid w:val="003B7631"/>
    <w:rsid w:val="003C0C29"/>
    <w:rsid w:val="003C0EA9"/>
    <w:rsid w:val="003C12A7"/>
    <w:rsid w:val="003C1899"/>
    <w:rsid w:val="003C2B65"/>
    <w:rsid w:val="003C395D"/>
    <w:rsid w:val="003C484A"/>
    <w:rsid w:val="003C5A6B"/>
    <w:rsid w:val="003C6AA0"/>
    <w:rsid w:val="003C72EB"/>
    <w:rsid w:val="003C7822"/>
    <w:rsid w:val="003D02C6"/>
    <w:rsid w:val="003D05C6"/>
    <w:rsid w:val="003D1C70"/>
    <w:rsid w:val="003D448B"/>
    <w:rsid w:val="003D483E"/>
    <w:rsid w:val="003D518A"/>
    <w:rsid w:val="003D53AC"/>
    <w:rsid w:val="003D6EA3"/>
    <w:rsid w:val="003E0206"/>
    <w:rsid w:val="003E0CA3"/>
    <w:rsid w:val="003E1BE6"/>
    <w:rsid w:val="003E2552"/>
    <w:rsid w:val="003E3A8F"/>
    <w:rsid w:val="003E513F"/>
    <w:rsid w:val="003E53E6"/>
    <w:rsid w:val="003E64A1"/>
    <w:rsid w:val="003E6C26"/>
    <w:rsid w:val="003E6EC2"/>
    <w:rsid w:val="003F0846"/>
    <w:rsid w:val="003F0C4D"/>
    <w:rsid w:val="003F109D"/>
    <w:rsid w:val="003F4495"/>
    <w:rsid w:val="003F4DE6"/>
    <w:rsid w:val="003F5DFA"/>
    <w:rsid w:val="003F6CCB"/>
    <w:rsid w:val="004002A4"/>
    <w:rsid w:val="00402B1A"/>
    <w:rsid w:val="00403183"/>
    <w:rsid w:val="00404477"/>
    <w:rsid w:val="00407DF9"/>
    <w:rsid w:val="00407F9A"/>
    <w:rsid w:val="0041301A"/>
    <w:rsid w:val="00413B0F"/>
    <w:rsid w:val="0041476D"/>
    <w:rsid w:val="00415367"/>
    <w:rsid w:val="00415D42"/>
    <w:rsid w:val="00420B6F"/>
    <w:rsid w:val="00420D77"/>
    <w:rsid w:val="0042171F"/>
    <w:rsid w:val="00421EC1"/>
    <w:rsid w:val="00422837"/>
    <w:rsid w:val="00422B2F"/>
    <w:rsid w:val="00423EB0"/>
    <w:rsid w:val="00425160"/>
    <w:rsid w:val="004259C3"/>
    <w:rsid w:val="00426144"/>
    <w:rsid w:val="004266D7"/>
    <w:rsid w:val="00427C67"/>
    <w:rsid w:val="0043038D"/>
    <w:rsid w:val="00433437"/>
    <w:rsid w:val="0043430E"/>
    <w:rsid w:val="00441603"/>
    <w:rsid w:val="004429AA"/>
    <w:rsid w:val="00442BAD"/>
    <w:rsid w:val="00443603"/>
    <w:rsid w:val="0044530D"/>
    <w:rsid w:val="0044554C"/>
    <w:rsid w:val="00446967"/>
    <w:rsid w:val="00446D38"/>
    <w:rsid w:val="004471DF"/>
    <w:rsid w:val="00451981"/>
    <w:rsid w:val="004531E4"/>
    <w:rsid w:val="00455E2E"/>
    <w:rsid w:val="004564BA"/>
    <w:rsid w:val="00460D83"/>
    <w:rsid w:val="00461815"/>
    <w:rsid w:val="00462BDA"/>
    <w:rsid w:val="00463A36"/>
    <w:rsid w:val="004719EB"/>
    <w:rsid w:val="00471A72"/>
    <w:rsid w:val="0047313F"/>
    <w:rsid w:val="00473872"/>
    <w:rsid w:val="004743E4"/>
    <w:rsid w:val="0047474E"/>
    <w:rsid w:val="004757C6"/>
    <w:rsid w:val="00477051"/>
    <w:rsid w:val="0048091C"/>
    <w:rsid w:val="004809FB"/>
    <w:rsid w:val="0048286F"/>
    <w:rsid w:val="00482F82"/>
    <w:rsid w:val="004857F3"/>
    <w:rsid w:val="00486A72"/>
    <w:rsid w:val="00486BFB"/>
    <w:rsid w:val="004905EA"/>
    <w:rsid w:val="00491AC3"/>
    <w:rsid w:val="004922B0"/>
    <w:rsid w:val="00492701"/>
    <w:rsid w:val="00492997"/>
    <w:rsid w:val="00493E8B"/>
    <w:rsid w:val="00494887"/>
    <w:rsid w:val="004954F2"/>
    <w:rsid w:val="00495E98"/>
    <w:rsid w:val="00496733"/>
    <w:rsid w:val="004972EF"/>
    <w:rsid w:val="00497C2A"/>
    <w:rsid w:val="004A055C"/>
    <w:rsid w:val="004A25F6"/>
    <w:rsid w:val="004A3F4E"/>
    <w:rsid w:val="004A5727"/>
    <w:rsid w:val="004A5BB9"/>
    <w:rsid w:val="004A638D"/>
    <w:rsid w:val="004A7AF9"/>
    <w:rsid w:val="004B1320"/>
    <w:rsid w:val="004B1E82"/>
    <w:rsid w:val="004B3CF6"/>
    <w:rsid w:val="004B53BC"/>
    <w:rsid w:val="004B583D"/>
    <w:rsid w:val="004B58C2"/>
    <w:rsid w:val="004C1E8F"/>
    <w:rsid w:val="004C2413"/>
    <w:rsid w:val="004C252D"/>
    <w:rsid w:val="004C3C1F"/>
    <w:rsid w:val="004C4E4E"/>
    <w:rsid w:val="004C6C6F"/>
    <w:rsid w:val="004D03CA"/>
    <w:rsid w:val="004D2705"/>
    <w:rsid w:val="004D4620"/>
    <w:rsid w:val="004D4D2D"/>
    <w:rsid w:val="004D64D5"/>
    <w:rsid w:val="004E0B77"/>
    <w:rsid w:val="004E1E75"/>
    <w:rsid w:val="004E22C3"/>
    <w:rsid w:val="004E394E"/>
    <w:rsid w:val="004E4F0D"/>
    <w:rsid w:val="004E522E"/>
    <w:rsid w:val="004E5351"/>
    <w:rsid w:val="004E5EAB"/>
    <w:rsid w:val="004E66C6"/>
    <w:rsid w:val="004E68D5"/>
    <w:rsid w:val="004F0047"/>
    <w:rsid w:val="004F078E"/>
    <w:rsid w:val="004F0931"/>
    <w:rsid w:val="004F0F4D"/>
    <w:rsid w:val="004F56F1"/>
    <w:rsid w:val="004F5EAC"/>
    <w:rsid w:val="004F6129"/>
    <w:rsid w:val="004F78D1"/>
    <w:rsid w:val="00501D7F"/>
    <w:rsid w:val="00502A3A"/>
    <w:rsid w:val="005037BB"/>
    <w:rsid w:val="0050388E"/>
    <w:rsid w:val="005061A2"/>
    <w:rsid w:val="00507CF0"/>
    <w:rsid w:val="00507DA6"/>
    <w:rsid w:val="00511000"/>
    <w:rsid w:val="0051151E"/>
    <w:rsid w:val="00511C33"/>
    <w:rsid w:val="00512582"/>
    <w:rsid w:val="005126F8"/>
    <w:rsid w:val="00512DB2"/>
    <w:rsid w:val="00514431"/>
    <w:rsid w:val="005150B8"/>
    <w:rsid w:val="005150FC"/>
    <w:rsid w:val="0051638C"/>
    <w:rsid w:val="00520364"/>
    <w:rsid w:val="00521810"/>
    <w:rsid w:val="00521A7F"/>
    <w:rsid w:val="00522FB0"/>
    <w:rsid w:val="00523B51"/>
    <w:rsid w:val="00526440"/>
    <w:rsid w:val="00526FCD"/>
    <w:rsid w:val="0053095B"/>
    <w:rsid w:val="00530D74"/>
    <w:rsid w:val="0053289D"/>
    <w:rsid w:val="00533386"/>
    <w:rsid w:val="00533661"/>
    <w:rsid w:val="00533C18"/>
    <w:rsid w:val="00533D4D"/>
    <w:rsid w:val="00535398"/>
    <w:rsid w:val="00536140"/>
    <w:rsid w:val="0053649B"/>
    <w:rsid w:val="0053734E"/>
    <w:rsid w:val="00541708"/>
    <w:rsid w:val="00542579"/>
    <w:rsid w:val="005443E1"/>
    <w:rsid w:val="005451CE"/>
    <w:rsid w:val="00545E94"/>
    <w:rsid w:val="00546D77"/>
    <w:rsid w:val="005508EC"/>
    <w:rsid w:val="005510C4"/>
    <w:rsid w:val="00551571"/>
    <w:rsid w:val="00552C7E"/>
    <w:rsid w:val="0055375E"/>
    <w:rsid w:val="00554534"/>
    <w:rsid w:val="005561A5"/>
    <w:rsid w:val="00557A6A"/>
    <w:rsid w:val="0056057C"/>
    <w:rsid w:val="00560892"/>
    <w:rsid w:val="0056189A"/>
    <w:rsid w:val="00561C49"/>
    <w:rsid w:val="005644CC"/>
    <w:rsid w:val="005647E2"/>
    <w:rsid w:val="0056567B"/>
    <w:rsid w:val="00566313"/>
    <w:rsid w:val="00567EDD"/>
    <w:rsid w:val="00570A8B"/>
    <w:rsid w:val="00570D29"/>
    <w:rsid w:val="00571F85"/>
    <w:rsid w:val="00572BD5"/>
    <w:rsid w:val="00573679"/>
    <w:rsid w:val="00575A0E"/>
    <w:rsid w:val="00576199"/>
    <w:rsid w:val="00576722"/>
    <w:rsid w:val="00577EC9"/>
    <w:rsid w:val="005811AF"/>
    <w:rsid w:val="00581C36"/>
    <w:rsid w:val="00582303"/>
    <w:rsid w:val="00582DEE"/>
    <w:rsid w:val="00583D05"/>
    <w:rsid w:val="00584213"/>
    <w:rsid w:val="0058436F"/>
    <w:rsid w:val="00586079"/>
    <w:rsid w:val="00586D41"/>
    <w:rsid w:val="00590442"/>
    <w:rsid w:val="00590A06"/>
    <w:rsid w:val="00590FFC"/>
    <w:rsid w:val="00591212"/>
    <w:rsid w:val="00591AE5"/>
    <w:rsid w:val="00593421"/>
    <w:rsid w:val="00593E29"/>
    <w:rsid w:val="00594C32"/>
    <w:rsid w:val="005950E8"/>
    <w:rsid w:val="00595C80"/>
    <w:rsid w:val="00596768"/>
    <w:rsid w:val="00596917"/>
    <w:rsid w:val="005972B8"/>
    <w:rsid w:val="005A1766"/>
    <w:rsid w:val="005A1C0B"/>
    <w:rsid w:val="005A4E82"/>
    <w:rsid w:val="005A66B6"/>
    <w:rsid w:val="005A6732"/>
    <w:rsid w:val="005B16C7"/>
    <w:rsid w:val="005B4771"/>
    <w:rsid w:val="005B6160"/>
    <w:rsid w:val="005B6637"/>
    <w:rsid w:val="005C3D14"/>
    <w:rsid w:val="005C4EF5"/>
    <w:rsid w:val="005C5F10"/>
    <w:rsid w:val="005C6075"/>
    <w:rsid w:val="005C60A3"/>
    <w:rsid w:val="005D1856"/>
    <w:rsid w:val="005D2FEF"/>
    <w:rsid w:val="005D5B2D"/>
    <w:rsid w:val="005D64F1"/>
    <w:rsid w:val="005D6A22"/>
    <w:rsid w:val="005D6D93"/>
    <w:rsid w:val="005D72A5"/>
    <w:rsid w:val="005D76BF"/>
    <w:rsid w:val="005E00C1"/>
    <w:rsid w:val="005E079E"/>
    <w:rsid w:val="005E1283"/>
    <w:rsid w:val="005E2946"/>
    <w:rsid w:val="005E3A8B"/>
    <w:rsid w:val="005E3E10"/>
    <w:rsid w:val="005E5EDB"/>
    <w:rsid w:val="005E6967"/>
    <w:rsid w:val="005F1118"/>
    <w:rsid w:val="005F30BD"/>
    <w:rsid w:val="005F45FE"/>
    <w:rsid w:val="005F7450"/>
    <w:rsid w:val="005F7DE7"/>
    <w:rsid w:val="005F7E10"/>
    <w:rsid w:val="006000E8"/>
    <w:rsid w:val="006010EE"/>
    <w:rsid w:val="00601C9A"/>
    <w:rsid w:val="00601FCB"/>
    <w:rsid w:val="0060467A"/>
    <w:rsid w:val="00604EAE"/>
    <w:rsid w:val="006059CA"/>
    <w:rsid w:val="006062F7"/>
    <w:rsid w:val="00607E82"/>
    <w:rsid w:val="00610E4A"/>
    <w:rsid w:val="00611084"/>
    <w:rsid w:val="00614708"/>
    <w:rsid w:val="00614DE2"/>
    <w:rsid w:val="006155F2"/>
    <w:rsid w:val="00615F9F"/>
    <w:rsid w:val="00617413"/>
    <w:rsid w:val="006203A8"/>
    <w:rsid w:val="00620688"/>
    <w:rsid w:val="0062079A"/>
    <w:rsid w:val="0062123B"/>
    <w:rsid w:val="00621FDF"/>
    <w:rsid w:val="00623836"/>
    <w:rsid w:val="0062453F"/>
    <w:rsid w:val="00624BD8"/>
    <w:rsid w:val="00625CD0"/>
    <w:rsid w:val="00625F58"/>
    <w:rsid w:val="00626128"/>
    <w:rsid w:val="00626AC1"/>
    <w:rsid w:val="00627143"/>
    <w:rsid w:val="0063027F"/>
    <w:rsid w:val="0063054D"/>
    <w:rsid w:val="00630585"/>
    <w:rsid w:val="00631FCD"/>
    <w:rsid w:val="0063281F"/>
    <w:rsid w:val="00632F75"/>
    <w:rsid w:val="0063382E"/>
    <w:rsid w:val="00634522"/>
    <w:rsid w:val="00634B43"/>
    <w:rsid w:val="00634F69"/>
    <w:rsid w:val="00635913"/>
    <w:rsid w:val="00637A18"/>
    <w:rsid w:val="006411CB"/>
    <w:rsid w:val="0064291F"/>
    <w:rsid w:val="00647028"/>
    <w:rsid w:val="0064770E"/>
    <w:rsid w:val="00647A3F"/>
    <w:rsid w:val="0065246C"/>
    <w:rsid w:val="006528C2"/>
    <w:rsid w:val="0065374E"/>
    <w:rsid w:val="00653A6B"/>
    <w:rsid w:val="00654E07"/>
    <w:rsid w:val="00654E6E"/>
    <w:rsid w:val="0065604F"/>
    <w:rsid w:val="00656A82"/>
    <w:rsid w:val="0065723E"/>
    <w:rsid w:val="0065772E"/>
    <w:rsid w:val="00657A94"/>
    <w:rsid w:val="00660CD2"/>
    <w:rsid w:val="00661EE4"/>
    <w:rsid w:val="0066290F"/>
    <w:rsid w:val="006630CE"/>
    <w:rsid w:val="00663ECE"/>
    <w:rsid w:val="00664107"/>
    <w:rsid w:val="006647BF"/>
    <w:rsid w:val="006664D9"/>
    <w:rsid w:val="0066762F"/>
    <w:rsid w:val="00671C39"/>
    <w:rsid w:val="00671DDC"/>
    <w:rsid w:val="00671E2E"/>
    <w:rsid w:val="0067283C"/>
    <w:rsid w:val="00672E43"/>
    <w:rsid w:val="0067348B"/>
    <w:rsid w:val="0067370F"/>
    <w:rsid w:val="00677A16"/>
    <w:rsid w:val="00680259"/>
    <w:rsid w:val="00682113"/>
    <w:rsid w:val="00682D66"/>
    <w:rsid w:val="00683235"/>
    <w:rsid w:val="006833C1"/>
    <w:rsid w:val="006848A5"/>
    <w:rsid w:val="00686832"/>
    <w:rsid w:val="00690781"/>
    <w:rsid w:val="006910F0"/>
    <w:rsid w:val="006926C8"/>
    <w:rsid w:val="00693225"/>
    <w:rsid w:val="00693437"/>
    <w:rsid w:val="00694075"/>
    <w:rsid w:val="00694EE3"/>
    <w:rsid w:val="00694F4D"/>
    <w:rsid w:val="006975DE"/>
    <w:rsid w:val="00697904"/>
    <w:rsid w:val="006A0343"/>
    <w:rsid w:val="006A20D8"/>
    <w:rsid w:val="006A2B67"/>
    <w:rsid w:val="006A2B8B"/>
    <w:rsid w:val="006A3847"/>
    <w:rsid w:val="006A4027"/>
    <w:rsid w:val="006A4922"/>
    <w:rsid w:val="006A65D0"/>
    <w:rsid w:val="006A6D6C"/>
    <w:rsid w:val="006A72A3"/>
    <w:rsid w:val="006A7FD5"/>
    <w:rsid w:val="006B06C6"/>
    <w:rsid w:val="006B0EA4"/>
    <w:rsid w:val="006B0EE4"/>
    <w:rsid w:val="006B179F"/>
    <w:rsid w:val="006B2B95"/>
    <w:rsid w:val="006B340F"/>
    <w:rsid w:val="006B4B00"/>
    <w:rsid w:val="006B5B2D"/>
    <w:rsid w:val="006B5F33"/>
    <w:rsid w:val="006B76B9"/>
    <w:rsid w:val="006C11A8"/>
    <w:rsid w:val="006C1720"/>
    <w:rsid w:val="006C268E"/>
    <w:rsid w:val="006C3AA9"/>
    <w:rsid w:val="006C3F07"/>
    <w:rsid w:val="006C6290"/>
    <w:rsid w:val="006C6767"/>
    <w:rsid w:val="006C6F42"/>
    <w:rsid w:val="006C7500"/>
    <w:rsid w:val="006C7F13"/>
    <w:rsid w:val="006D0A28"/>
    <w:rsid w:val="006D0BA5"/>
    <w:rsid w:val="006D1E33"/>
    <w:rsid w:val="006D3C89"/>
    <w:rsid w:val="006D3F26"/>
    <w:rsid w:val="006D3F66"/>
    <w:rsid w:val="006D40C2"/>
    <w:rsid w:val="006D4124"/>
    <w:rsid w:val="006D43C1"/>
    <w:rsid w:val="006D4636"/>
    <w:rsid w:val="006D597D"/>
    <w:rsid w:val="006D630F"/>
    <w:rsid w:val="006D654A"/>
    <w:rsid w:val="006D775F"/>
    <w:rsid w:val="006D7A19"/>
    <w:rsid w:val="006E0041"/>
    <w:rsid w:val="006E1AF1"/>
    <w:rsid w:val="006E2570"/>
    <w:rsid w:val="006E39F2"/>
    <w:rsid w:val="006E3CCE"/>
    <w:rsid w:val="006E445F"/>
    <w:rsid w:val="006E6879"/>
    <w:rsid w:val="006F1EB1"/>
    <w:rsid w:val="006F2202"/>
    <w:rsid w:val="006F30A2"/>
    <w:rsid w:val="006F6841"/>
    <w:rsid w:val="007003A3"/>
    <w:rsid w:val="00700FD0"/>
    <w:rsid w:val="00701375"/>
    <w:rsid w:val="007026BC"/>
    <w:rsid w:val="00702D34"/>
    <w:rsid w:val="00702E8A"/>
    <w:rsid w:val="007031CB"/>
    <w:rsid w:val="007032B5"/>
    <w:rsid w:val="0070339F"/>
    <w:rsid w:val="007054EB"/>
    <w:rsid w:val="00706D6A"/>
    <w:rsid w:val="00707173"/>
    <w:rsid w:val="00707C83"/>
    <w:rsid w:val="0071016D"/>
    <w:rsid w:val="00711097"/>
    <w:rsid w:val="00712D9B"/>
    <w:rsid w:val="00712F27"/>
    <w:rsid w:val="007147AF"/>
    <w:rsid w:val="00716BFF"/>
    <w:rsid w:val="0071757D"/>
    <w:rsid w:val="00717B1D"/>
    <w:rsid w:val="00720140"/>
    <w:rsid w:val="007208CC"/>
    <w:rsid w:val="007214BF"/>
    <w:rsid w:val="0072154F"/>
    <w:rsid w:val="0072218E"/>
    <w:rsid w:val="00722F34"/>
    <w:rsid w:val="007246A5"/>
    <w:rsid w:val="007246C8"/>
    <w:rsid w:val="007264D1"/>
    <w:rsid w:val="00730E87"/>
    <w:rsid w:val="00731934"/>
    <w:rsid w:val="0073197B"/>
    <w:rsid w:val="00737AFA"/>
    <w:rsid w:val="007406BC"/>
    <w:rsid w:val="00740E56"/>
    <w:rsid w:val="00741F93"/>
    <w:rsid w:val="00743548"/>
    <w:rsid w:val="00743602"/>
    <w:rsid w:val="00743A18"/>
    <w:rsid w:val="00743A8F"/>
    <w:rsid w:val="0074534D"/>
    <w:rsid w:val="0074587A"/>
    <w:rsid w:val="007460DB"/>
    <w:rsid w:val="00747264"/>
    <w:rsid w:val="007477BD"/>
    <w:rsid w:val="00747CDD"/>
    <w:rsid w:val="007537AD"/>
    <w:rsid w:val="00753976"/>
    <w:rsid w:val="00754941"/>
    <w:rsid w:val="00754B4B"/>
    <w:rsid w:val="00755A99"/>
    <w:rsid w:val="007567A8"/>
    <w:rsid w:val="007574A9"/>
    <w:rsid w:val="00757832"/>
    <w:rsid w:val="00757DE4"/>
    <w:rsid w:val="0076131A"/>
    <w:rsid w:val="00761C9B"/>
    <w:rsid w:val="00762979"/>
    <w:rsid w:val="00762EB0"/>
    <w:rsid w:val="0076337D"/>
    <w:rsid w:val="00764D40"/>
    <w:rsid w:val="00764E00"/>
    <w:rsid w:val="00764F51"/>
    <w:rsid w:val="007657EC"/>
    <w:rsid w:val="007673AF"/>
    <w:rsid w:val="007676DD"/>
    <w:rsid w:val="0076789F"/>
    <w:rsid w:val="00770179"/>
    <w:rsid w:val="007701C9"/>
    <w:rsid w:val="00771170"/>
    <w:rsid w:val="007721C3"/>
    <w:rsid w:val="00774CCB"/>
    <w:rsid w:val="00774E01"/>
    <w:rsid w:val="007752D7"/>
    <w:rsid w:val="007754C4"/>
    <w:rsid w:val="00775CBB"/>
    <w:rsid w:val="00780621"/>
    <w:rsid w:val="00781932"/>
    <w:rsid w:val="00781ACA"/>
    <w:rsid w:val="00783B93"/>
    <w:rsid w:val="0078518E"/>
    <w:rsid w:val="007860B2"/>
    <w:rsid w:val="007863DD"/>
    <w:rsid w:val="00790C76"/>
    <w:rsid w:val="00791CB9"/>
    <w:rsid w:val="00792369"/>
    <w:rsid w:val="00793A07"/>
    <w:rsid w:val="007965BA"/>
    <w:rsid w:val="00797FD1"/>
    <w:rsid w:val="007A1EEF"/>
    <w:rsid w:val="007A3464"/>
    <w:rsid w:val="007A45A1"/>
    <w:rsid w:val="007A5134"/>
    <w:rsid w:val="007A5913"/>
    <w:rsid w:val="007A68F1"/>
    <w:rsid w:val="007A6986"/>
    <w:rsid w:val="007A6ECA"/>
    <w:rsid w:val="007B1159"/>
    <w:rsid w:val="007B1DBF"/>
    <w:rsid w:val="007B31E6"/>
    <w:rsid w:val="007B417D"/>
    <w:rsid w:val="007B703F"/>
    <w:rsid w:val="007B777D"/>
    <w:rsid w:val="007C0355"/>
    <w:rsid w:val="007C270A"/>
    <w:rsid w:val="007C280B"/>
    <w:rsid w:val="007C4D1B"/>
    <w:rsid w:val="007C4D66"/>
    <w:rsid w:val="007C56AF"/>
    <w:rsid w:val="007D1720"/>
    <w:rsid w:val="007D3FDE"/>
    <w:rsid w:val="007D4161"/>
    <w:rsid w:val="007D64B6"/>
    <w:rsid w:val="007D6D3B"/>
    <w:rsid w:val="007D74F1"/>
    <w:rsid w:val="007D7F2A"/>
    <w:rsid w:val="007E0CD3"/>
    <w:rsid w:val="007E297D"/>
    <w:rsid w:val="007E3A2F"/>
    <w:rsid w:val="007E4180"/>
    <w:rsid w:val="007E4A4B"/>
    <w:rsid w:val="007E6240"/>
    <w:rsid w:val="007E6A0D"/>
    <w:rsid w:val="007E715C"/>
    <w:rsid w:val="007E7655"/>
    <w:rsid w:val="007F419C"/>
    <w:rsid w:val="007F4243"/>
    <w:rsid w:val="007F510D"/>
    <w:rsid w:val="007F59A4"/>
    <w:rsid w:val="008016A4"/>
    <w:rsid w:val="00802397"/>
    <w:rsid w:val="00803146"/>
    <w:rsid w:val="0081035D"/>
    <w:rsid w:val="00811508"/>
    <w:rsid w:val="008126CA"/>
    <w:rsid w:val="00812860"/>
    <w:rsid w:val="00813577"/>
    <w:rsid w:val="00813892"/>
    <w:rsid w:val="00814011"/>
    <w:rsid w:val="0081599A"/>
    <w:rsid w:val="0081651C"/>
    <w:rsid w:val="00816CEE"/>
    <w:rsid w:val="00820503"/>
    <w:rsid w:val="008206AA"/>
    <w:rsid w:val="00822544"/>
    <w:rsid w:val="00824D06"/>
    <w:rsid w:val="00825E92"/>
    <w:rsid w:val="00826415"/>
    <w:rsid w:val="00826C92"/>
    <w:rsid w:val="00827003"/>
    <w:rsid w:val="008279E8"/>
    <w:rsid w:val="00830026"/>
    <w:rsid w:val="0083280D"/>
    <w:rsid w:val="00832EF8"/>
    <w:rsid w:val="0083323B"/>
    <w:rsid w:val="00833B2D"/>
    <w:rsid w:val="0083627E"/>
    <w:rsid w:val="00836B29"/>
    <w:rsid w:val="0083757D"/>
    <w:rsid w:val="00837950"/>
    <w:rsid w:val="008414D4"/>
    <w:rsid w:val="00841BA2"/>
    <w:rsid w:val="00841C68"/>
    <w:rsid w:val="00844F39"/>
    <w:rsid w:val="00844F6A"/>
    <w:rsid w:val="0084618A"/>
    <w:rsid w:val="00850FE0"/>
    <w:rsid w:val="008510AE"/>
    <w:rsid w:val="00852FF0"/>
    <w:rsid w:val="00853708"/>
    <w:rsid w:val="00853C73"/>
    <w:rsid w:val="008562AA"/>
    <w:rsid w:val="008577BD"/>
    <w:rsid w:val="00857B19"/>
    <w:rsid w:val="00857D36"/>
    <w:rsid w:val="00862017"/>
    <w:rsid w:val="00862323"/>
    <w:rsid w:val="00862384"/>
    <w:rsid w:val="00863D2B"/>
    <w:rsid w:val="0086444B"/>
    <w:rsid w:val="00864DF1"/>
    <w:rsid w:val="00871332"/>
    <w:rsid w:val="008719B8"/>
    <w:rsid w:val="00872D34"/>
    <w:rsid w:val="0087342C"/>
    <w:rsid w:val="00873652"/>
    <w:rsid w:val="00873C76"/>
    <w:rsid w:val="00880258"/>
    <w:rsid w:val="0088203B"/>
    <w:rsid w:val="00882674"/>
    <w:rsid w:val="008826AE"/>
    <w:rsid w:val="00882B71"/>
    <w:rsid w:val="0088354E"/>
    <w:rsid w:val="00884DB3"/>
    <w:rsid w:val="00884F97"/>
    <w:rsid w:val="008852E4"/>
    <w:rsid w:val="00885557"/>
    <w:rsid w:val="00886531"/>
    <w:rsid w:val="00886CB2"/>
    <w:rsid w:val="008871C0"/>
    <w:rsid w:val="00887389"/>
    <w:rsid w:val="0089076F"/>
    <w:rsid w:val="00891335"/>
    <w:rsid w:val="008917FE"/>
    <w:rsid w:val="008958C9"/>
    <w:rsid w:val="00895A60"/>
    <w:rsid w:val="008A00DE"/>
    <w:rsid w:val="008A0573"/>
    <w:rsid w:val="008A05F4"/>
    <w:rsid w:val="008A14C9"/>
    <w:rsid w:val="008A1CD8"/>
    <w:rsid w:val="008A296E"/>
    <w:rsid w:val="008A3721"/>
    <w:rsid w:val="008A4158"/>
    <w:rsid w:val="008B0CDB"/>
    <w:rsid w:val="008B0EB6"/>
    <w:rsid w:val="008B1563"/>
    <w:rsid w:val="008B2182"/>
    <w:rsid w:val="008B2311"/>
    <w:rsid w:val="008B436F"/>
    <w:rsid w:val="008B43E9"/>
    <w:rsid w:val="008B45BA"/>
    <w:rsid w:val="008B4B00"/>
    <w:rsid w:val="008B5DC7"/>
    <w:rsid w:val="008B6752"/>
    <w:rsid w:val="008B6DDD"/>
    <w:rsid w:val="008C08CF"/>
    <w:rsid w:val="008C37C5"/>
    <w:rsid w:val="008C76E9"/>
    <w:rsid w:val="008D004F"/>
    <w:rsid w:val="008D14D9"/>
    <w:rsid w:val="008D1EFE"/>
    <w:rsid w:val="008D3777"/>
    <w:rsid w:val="008D4CB2"/>
    <w:rsid w:val="008D59AB"/>
    <w:rsid w:val="008E12A9"/>
    <w:rsid w:val="008E1FA2"/>
    <w:rsid w:val="008E2618"/>
    <w:rsid w:val="008E3570"/>
    <w:rsid w:val="008E4C66"/>
    <w:rsid w:val="008E7993"/>
    <w:rsid w:val="008E79F0"/>
    <w:rsid w:val="008F0042"/>
    <w:rsid w:val="008F0E74"/>
    <w:rsid w:val="008F1823"/>
    <w:rsid w:val="008F2DA2"/>
    <w:rsid w:val="008F4021"/>
    <w:rsid w:val="008F55A1"/>
    <w:rsid w:val="008F6935"/>
    <w:rsid w:val="008F6C50"/>
    <w:rsid w:val="008F75EF"/>
    <w:rsid w:val="0090115F"/>
    <w:rsid w:val="0090139E"/>
    <w:rsid w:val="00901831"/>
    <w:rsid w:val="00901D97"/>
    <w:rsid w:val="00901F40"/>
    <w:rsid w:val="00902AAD"/>
    <w:rsid w:val="009038BA"/>
    <w:rsid w:val="00903FC9"/>
    <w:rsid w:val="0090646A"/>
    <w:rsid w:val="0091001E"/>
    <w:rsid w:val="0091330E"/>
    <w:rsid w:val="00914BBA"/>
    <w:rsid w:val="00914EBD"/>
    <w:rsid w:val="00915A9F"/>
    <w:rsid w:val="00916263"/>
    <w:rsid w:val="009208A9"/>
    <w:rsid w:val="00920D85"/>
    <w:rsid w:val="0092172B"/>
    <w:rsid w:val="0092182F"/>
    <w:rsid w:val="009228F9"/>
    <w:rsid w:val="009257BD"/>
    <w:rsid w:val="00931DE0"/>
    <w:rsid w:val="00932F0E"/>
    <w:rsid w:val="00934421"/>
    <w:rsid w:val="00935385"/>
    <w:rsid w:val="0093559E"/>
    <w:rsid w:val="00937E67"/>
    <w:rsid w:val="00940149"/>
    <w:rsid w:val="0094058D"/>
    <w:rsid w:val="00940C83"/>
    <w:rsid w:val="0094128C"/>
    <w:rsid w:val="00942B76"/>
    <w:rsid w:val="00943E24"/>
    <w:rsid w:val="00944376"/>
    <w:rsid w:val="00947E1F"/>
    <w:rsid w:val="0095067C"/>
    <w:rsid w:val="00950C60"/>
    <w:rsid w:val="00950F90"/>
    <w:rsid w:val="00951671"/>
    <w:rsid w:val="00951867"/>
    <w:rsid w:val="00954387"/>
    <w:rsid w:val="00955A06"/>
    <w:rsid w:val="0095657C"/>
    <w:rsid w:val="00956C93"/>
    <w:rsid w:val="00957F10"/>
    <w:rsid w:val="009605AE"/>
    <w:rsid w:val="009614B1"/>
    <w:rsid w:val="00961CB5"/>
    <w:rsid w:val="00962555"/>
    <w:rsid w:val="00963996"/>
    <w:rsid w:val="00963CEC"/>
    <w:rsid w:val="00964E7B"/>
    <w:rsid w:val="0096580F"/>
    <w:rsid w:val="009709D1"/>
    <w:rsid w:val="00972B7F"/>
    <w:rsid w:val="009772DC"/>
    <w:rsid w:val="0097735C"/>
    <w:rsid w:val="00977D2A"/>
    <w:rsid w:val="009821E6"/>
    <w:rsid w:val="00984149"/>
    <w:rsid w:val="009843F3"/>
    <w:rsid w:val="00985EC0"/>
    <w:rsid w:val="00990134"/>
    <w:rsid w:val="00990D58"/>
    <w:rsid w:val="00991A9E"/>
    <w:rsid w:val="0099276B"/>
    <w:rsid w:val="009939E0"/>
    <w:rsid w:val="00995687"/>
    <w:rsid w:val="00996062"/>
    <w:rsid w:val="00997B85"/>
    <w:rsid w:val="00997CFD"/>
    <w:rsid w:val="009A0F49"/>
    <w:rsid w:val="009A249D"/>
    <w:rsid w:val="009A3CD0"/>
    <w:rsid w:val="009A4B51"/>
    <w:rsid w:val="009A4BA7"/>
    <w:rsid w:val="009A7EFF"/>
    <w:rsid w:val="009B29DE"/>
    <w:rsid w:val="009B2B44"/>
    <w:rsid w:val="009B5106"/>
    <w:rsid w:val="009B57F5"/>
    <w:rsid w:val="009B600B"/>
    <w:rsid w:val="009B6D20"/>
    <w:rsid w:val="009B7238"/>
    <w:rsid w:val="009B77A9"/>
    <w:rsid w:val="009C075B"/>
    <w:rsid w:val="009C08D8"/>
    <w:rsid w:val="009C0FEE"/>
    <w:rsid w:val="009C1108"/>
    <w:rsid w:val="009C30E1"/>
    <w:rsid w:val="009C3A86"/>
    <w:rsid w:val="009C3F5F"/>
    <w:rsid w:val="009C6C72"/>
    <w:rsid w:val="009D04ED"/>
    <w:rsid w:val="009D0D84"/>
    <w:rsid w:val="009D1C8B"/>
    <w:rsid w:val="009D5500"/>
    <w:rsid w:val="009D5B8F"/>
    <w:rsid w:val="009D729E"/>
    <w:rsid w:val="009D7579"/>
    <w:rsid w:val="009E05A9"/>
    <w:rsid w:val="009E0630"/>
    <w:rsid w:val="009E0E5D"/>
    <w:rsid w:val="009E1CDA"/>
    <w:rsid w:val="009E23BF"/>
    <w:rsid w:val="009E35E2"/>
    <w:rsid w:val="009E5BC3"/>
    <w:rsid w:val="009E6101"/>
    <w:rsid w:val="009E62AD"/>
    <w:rsid w:val="009E7ADA"/>
    <w:rsid w:val="009E7ED2"/>
    <w:rsid w:val="009F0699"/>
    <w:rsid w:val="009F0C6E"/>
    <w:rsid w:val="009F1B3A"/>
    <w:rsid w:val="009F407C"/>
    <w:rsid w:val="009F5D60"/>
    <w:rsid w:val="009F6669"/>
    <w:rsid w:val="009F7551"/>
    <w:rsid w:val="00A066FE"/>
    <w:rsid w:val="00A1039D"/>
    <w:rsid w:val="00A10870"/>
    <w:rsid w:val="00A10FD7"/>
    <w:rsid w:val="00A117B1"/>
    <w:rsid w:val="00A11D56"/>
    <w:rsid w:val="00A1307C"/>
    <w:rsid w:val="00A207C9"/>
    <w:rsid w:val="00A2285F"/>
    <w:rsid w:val="00A2293E"/>
    <w:rsid w:val="00A23010"/>
    <w:rsid w:val="00A237B5"/>
    <w:rsid w:val="00A2516A"/>
    <w:rsid w:val="00A25637"/>
    <w:rsid w:val="00A25B95"/>
    <w:rsid w:val="00A25CBF"/>
    <w:rsid w:val="00A32EAA"/>
    <w:rsid w:val="00A33253"/>
    <w:rsid w:val="00A332E3"/>
    <w:rsid w:val="00A364B4"/>
    <w:rsid w:val="00A37F30"/>
    <w:rsid w:val="00A412B6"/>
    <w:rsid w:val="00A42DD6"/>
    <w:rsid w:val="00A4435C"/>
    <w:rsid w:val="00A4562D"/>
    <w:rsid w:val="00A50496"/>
    <w:rsid w:val="00A5205B"/>
    <w:rsid w:val="00A52AD9"/>
    <w:rsid w:val="00A52F21"/>
    <w:rsid w:val="00A535D8"/>
    <w:rsid w:val="00A54B31"/>
    <w:rsid w:val="00A5586F"/>
    <w:rsid w:val="00A5727A"/>
    <w:rsid w:val="00A57331"/>
    <w:rsid w:val="00A600A1"/>
    <w:rsid w:val="00A63879"/>
    <w:rsid w:val="00A63887"/>
    <w:rsid w:val="00A660AF"/>
    <w:rsid w:val="00A669D3"/>
    <w:rsid w:val="00A70785"/>
    <w:rsid w:val="00A73C0C"/>
    <w:rsid w:val="00A7416B"/>
    <w:rsid w:val="00A77EC8"/>
    <w:rsid w:val="00A806CB"/>
    <w:rsid w:val="00A83332"/>
    <w:rsid w:val="00A8389E"/>
    <w:rsid w:val="00A83AA2"/>
    <w:rsid w:val="00A87A2D"/>
    <w:rsid w:val="00A87A5A"/>
    <w:rsid w:val="00A91781"/>
    <w:rsid w:val="00A92533"/>
    <w:rsid w:val="00A9362F"/>
    <w:rsid w:val="00A946C4"/>
    <w:rsid w:val="00A95749"/>
    <w:rsid w:val="00A95A86"/>
    <w:rsid w:val="00A96304"/>
    <w:rsid w:val="00AA3968"/>
    <w:rsid w:val="00AA4113"/>
    <w:rsid w:val="00AA62A5"/>
    <w:rsid w:val="00AA66BF"/>
    <w:rsid w:val="00AA6708"/>
    <w:rsid w:val="00AB03B7"/>
    <w:rsid w:val="00AB0BB3"/>
    <w:rsid w:val="00AB338A"/>
    <w:rsid w:val="00AB3518"/>
    <w:rsid w:val="00AB3D21"/>
    <w:rsid w:val="00AB4752"/>
    <w:rsid w:val="00AB549C"/>
    <w:rsid w:val="00AB6298"/>
    <w:rsid w:val="00AB733F"/>
    <w:rsid w:val="00AC0A20"/>
    <w:rsid w:val="00AC0B67"/>
    <w:rsid w:val="00AC0DEB"/>
    <w:rsid w:val="00AC1089"/>
    <w:rsid w:val="00AC1904"/>
    <w:rsid w:val="00AC1FC3"/>
    <w:rsid w:val="00AC2DB8"/>
    <w:rsid w:val="00AC38B9"/>
    <w:rsid w:val="00AC483F"/>
    <w:rsid w:val="00AC5C1D"/>
    <w:rsid w:val="00AD0744"/>
    <w:rsid w:val="00AD093C"/>
    <w:rsid w:val="00AD1367"/>
    <w:rsid w:val="00AD163A"/>
    <w:rsid w:val="00AD1A98"/>
    <w:rsid w:val="00AD20B8"/>
    <w:rsid w:val="00AD382E"/>
    <w:rsid w:val="00AD3C6D"/>
    <w:rsid w:val="00AD6A5B"/>
    <w:rsid w:val="00AD7A92"/>
    <w:rsid w:val="00AD7ACB"/>
    <w:rsid w:val="00AD7FB4"/>
    <w:rsid w:val="00AE0CC3"/>
    <w:rsid w:val="00AE1006"/>
    <w:rsid w:val="00AE3F75"/>
    <w:rsid w:val="00AE3F8B"/>
    <w:rsid w:val="00AE4652"/>
    <w:rsid w:val="00AE5685"/>
    <w:rsid w:val="00AE6035"/>
    <w:rsid w:val="00AE7979"/>
    <w:rsid w:val="00AE7CEB"/>
    <w:rsid w:val="00AF0879"/>
    <w:rsid w:val="00AF24E0"/>
    <w:rsid w:val="00AF3183"/>
    <w:rsid w:val="00AF3800"/>
    <w:rsid w:val="00AF4355"/>
    <w:rsid w:val="00AF4EB2"/>
    <w:rsid w:val="00AF536E"/>
    <w:rsid w:val="00AF6414"/>
    <w:rsid w:val="00AF7B8C"/>
    <w:rsid w:val="00B0131D"/>
    <w:rsid w:val="00B0254F"/>
    <w:rsid w:val="00B02705"/>
    <w:rsid w:val="00B047EF"/>
    <w:rsid w:val="00B0679F"/>
    <w:rsid w:val="00B06EA4"/>
    <w:rsid w:val="00B06ED3"/>
    <w:rsid w:val="00B07560"/>
    <w:rsid w:val="00B1063F"/>
    <w:rsid w:val="00B10C54"/>
    <w:rsid w:val="00B1468D"/>
    <w:rsid w:val="00B15C44"/>
    <w:rsid w:val="00B15D28"/>
    <w:rsid w:val="00B2097A"/>
    <w:rsid w:val="00B21EB9"/>
    <w:rsid w:val="00B22F5A"/>
    <w:rsid w:val="00B233FD"/>
    <w:rsid w:val="00B235CD"/>
    <w:rsid w:val="00B2496C"/>
    <w:rsid w:val="00B2508B"/>
    <w:rsid w:val="00B25427"/>
    <w:rsid w:val="00B2566B"/>
    <w:rsid w:val="00B261E5"/>
    <w:rsid w:val="00B301DE"/>
    <w:rsid w:val="00B31405"/>
    <w:rsid w:val="00B34C26"/>
    <w:rsid w:val="00B354DD"/>
    <w:rsid w:val="00B378A2"/>
    <w:rsid w:val="00B40019"/>
    <w:rsid w:val="00B401DD"/>
    <w:rsid w:val="00B406F8"/>
    <w:rsid w:val="00B41C7D"/>
    <w:rsid w:val="00B41F20"/>
    <w:rsid w:val="00B43EC3"/>
    <w:rsid w:val="00B470B7"/>
    <w:rsid w:val="00B50867"/>
    <w:rsid w:val="00B51ED5"/>
    <w:rsid w:val="00B53453"/>
    <w:rsid w:val="00B53CDC"/>
    <w:rsid w:val="00B54AD4"/>
    <w:rsid w:val="00B558DB"/>
    <w:rsid w:val="00B562BD"/>
    <w:rsid w:val="00B57C3E"/>
    <w:rsid w:val="00B6091B"/>
    <w:rsid w:val="00B60E73"/>
    <w:rsid w:val="00B6208C"/>
    <w:rsid w:val="00B6246E"/>
    <w:rsid w:val="00B636A8"/>
    <w:rsid w:val="00B63721"/>
    <w:rsid w:val="00B638FF"/>
    <w:rsid w:val="00B63D50"/>
    <w:rsid w:val="00B63FC9"/>
    <w:rsid w:val="00B643FD"/>
    <w:rsid w:val="00B644B5"/>
    <w:rsid w:val="00B644F2"/>
    <w:rsid w:val="00B64510"/>
    <w:rsid w:val="00B658A0"/>
    <w:rsid w:val="00B666ED"/>
    <w:rsid w:val="00B71367"/>
    <w:rsid w:val="00B72693"/>
    <w:rsid w:val="00B727E8"/>
    <w:rsid w:val="00B74BD3"/>
    <w:rsid w:val="00B74EDC"/>
    <w:rsid w:val="00B755BF"/>
    <w:rsid w:val="00B76732"/>
    <w:rsid w:val="00B76C24"/>
    <w:rsid w:val="00B80F68"/>
    <w:rsid w:val="00B81C2A"/>
    <w:rsid w:val="00B82023"/>
    <w:rsid w:val="00B8230C"/>
    <w:rsid w:val="00B85263"/>
    <w:rsid w:val="00B86353"/>
    <w:rsid w:val="00B90B32"/>
    <w:rsid w:val="00B91233"/>
    <w:rsid w:val="00B9164E"/>
    <w:rsid w:val="00B91FC1"/>
    <w:rsid w:val="00B924D7"/>
    <w:rsid w:val="00B9283B"/>
    <w:rsid w:val="00B9349C"/>
    <w:rsid w:val="00B936E7"/>
    <w:rsid w:val="00B942A2"/>
    <w:rsid w:val="00B95467"/>
    <w:rsid w:val="00B95929"/>
    <w:rsid w:val="00B95C66"/>
    <w:rsid w:val="00B95C8F"/>
    <w:rsid w:val="00B961D5"/>
    <w:rsid w:val="00B96998"/>
    <w:rsid w:val="00B9742B"/>
    <w:rsid w:val="00BA079E"/>
    <w:rsid w:val="00BA1303"/>
    <w:rsid w:val="00BA32D6"/>
    <w:rsid w:val="00BA3EF9"/>
    <w:rsid w:val="00BA4BF4"/>
    <w:rsid w:val="00BA6762"/>
    <w:rsid w:val="00BA68DB"/>
    <w:rsid w:val="00BA6B09"/>
    <w:rsid w:val="00BB0074"/>
    <w:rsid w:val="00BB0B47"/>
    <w:rsid w:val="00BB1164"/>
    <w:rsid w:val="00BB2E4B"/>
    <w:rsid w:val="00BB37B0"/>
    <w:rsid w:val="00BB5BA6"/>
    <w:rsid w:val="00BB6256"/>
    <w:rsid w:val="00BC3E5E"/>
    <w:rsid w:val="00BC4B6D"/>
    <w:rsid w:val="00BC6317"/>
    <w:rsid w:val="00BC6A77"/>
    <w:rsid w:val="00BC7322"/>
    <w:rsid w:val="00BD21A1"/>
    <w:rsid w:val="00BD2A3E"/>
    <w:rsid w:val="00BD2B14"/>
    <w:rsid w:val="00BD3176"/>
    <w:rsid w:val="00BD336F"/>
    <w:rsid w:val="00BD348F"/>
    <w:rsid w:val="00BD3611"/>
    <w:rsid w:val="00BD4302"/>
    <w:rsid w:val="00BD481B"/>
    <w:rsid w:val="00BD55EE"/>
    <w:rsid w:val="00BD60F0"/>
    <w:rsid w:val="00BD6452"/>
    <w:rsid w:val="00BE2AA7"/>
    <w:rsid w:val="00BE44F1"/>
    <w:rsid w:val="00BE4F8E"/>
    <w:rsid w:val="00BE5D6A"/>
    <w:rsid w:val="00BE68FC"/>
    <w:rsid w:val="00BE6DDA"/>
    <w:rsid w:val="00BF23EC"/>
    <w:rsid w:val="00BF2ACA"/>
    <w:rsid w:val="00BF53A2"/>
    <w:rsid w:val="00BF5482"/>
    <w:rsid w:val="00BF581C"/>
    <w:rsid w:val="00BF6B4C"/>
    <w:rsid w:val="00BF6BFA"/>
    <w:rsid w:val="00BF7AED"/>
    <w:rsid w:val="00C00579"/>
    <w:rsid w:val="00C007AD"/>
    <w:rsid w:val="00C01C02"/>
    <w:rsid w:val="00C03976"/>
    <w:rsid w:val="00C040FF"/>
    <w:rsid w:val="00C052A4"/>
    <w:rsid w:val="00C074C1"/>
    <w:rsid w:val="00C105A5"/>
    <w:rsid w:val="00C10851"/>
    <w:rsid w:val="00C1209C"/>
    <w:rsid w:val="00C158C3"/>
    <w:rsid w:val="00C15A43"/>
    <w:rsid w:val="00C16D0F"/>
    <w:rsid w:val="00C17877"/>
    <w:rsid w:val="00C17F52"/>
    <w:rsid w:val="00C204F9"/>
    <w:rsid w:val="00C21BEE"/>
    <w:rsid w:val="00C220C7"/>
    <w:rsid w:val="00C22D64"/>
    <w:rsid w:val="00C23410"/>
    <w:rsid w:val="00C2435E"/>
    <w:rsid w:val="00C24B52"/>
    <w:rsid w:val="00C25520"/>
    <w:rsid w:val="00C256D5"/>
    <w:rsid w:val="00C261F4"/>
    <w:rsid w:val="00C273BF"/>
    <w:rsid w:val="00C2790C"/>
    <w:rsid w:val="00C3193D"/>
    <w:rsid w:val="00C31DCE"/>
    <w:rsid w:val="00C32334"/>
    <w:rsid w:val="00C32633"/>
    <w:rsid w:val="00C32CE2"/>
    <w:rsid w:val="00C32EF0"/>
    <w:rsid w:val="00C35D35"/>
    <w:rsid w:val="00C360F3"/>
    <w:rsid w:val="00C36174"/>
    <w:rsid w:val="00C36F8A"/>
    <w:rsid w:val="00C415EC"/>
    <w:rsid w:val="00C42363"/>
    <w:rsid w:val="00C44519"/>
    <w:rsid w:val="00C45052"/>
    <w:rsid w:val="00C45D64"/>
    <w:rsid w:val="00C463A3"/>
    <w:rsid w:val="00C479A2"/>
    <w:rsid w:val="00C5089F"/>
    <w:rsid w:val="00C51D1A"/>
    <w:rsid w:val="00C53ECF"/>
    <w:rsid w:val="00C54520"/>
    <w:rsid w:val="00C551FD"/>
    <w:rsid w:val="00C5581F"/>
    <w:rsid w:val="00C60D80"/>
    <w:rsid w:val="00C616F8"/>
    <w:rsid w:val="00C61905"/>
    <w:rsid w:val="00C61FC2"/>
    <w:rsid w:val="00C624ED"/>
    <w:rsid w:val="00C63111"/>
    <w:rsid w:val="00C632E8"/>
    <w:rsid w:val="00C63A0A"/>
    <w:rsid w:val="00C63F0D"/>
    <w:rsid w:val="00C659A5"/>
    <w:rsid w:val="00C65FAC"/>
    <w:rsid w:val="00C669C4"/>
    <w:rsid w:val="00C67930"/>
    <w:rsid w:val="00C70292"/>
    <w:rsid w:val="00C71703"/>
    <w:rsid w:val="00C7180B"/>
    <w:rsid w:val="00C72207"/>
    <w:rsid w:val="00C730A0"/>
    <w:rsid w:val="00C76BCC"/>
    <w:rsid w:val="00C770D3"/>
    <w:rsid w:val="00C775B0"/>
    <w:rsid w:val="00C77783"/>
    <w:rsid w:val="00C77AB1"/>
    <w:rsid w:val="00C80506"/>
    <w:rsid w:val="00C8269C"/>
    <w:rsid w:val="00C84E1A"/>
    <w:rsid w:val="00C86715"/>
    <w:rsid w:val="00C86BE7"/>
    <w:rsid w:val="00C90F33"/>
    <w:rsid w:val="00C93734"/>
    <w:rsid w:val="00C9413B"/>
    <w:rsid w:val="00C94B98"/>
    <w:rsid w:val="00C97324"/>
    <w:rsid w:val="00CA1776"/>
    <w:rsid w:val="00CA275E"/>
    <w:rsid w:val="00CA382A"/>
    <w:rsid w:val="00CA467D"/>
    <w:rsid w:val="00CA4E25"/>
    <w:rsid w:val="00CA547F"/>
    <w:rsid w:val="00CA605D"/>
    <w:rsid w:val="00CA7441"/>
    <w:rsid w:val="00CA76B6"/>
    <w:rsid w:val="00CA7C10"/>
    <w:rsid w:val="00CB065B"/>
    <w:rsid w:val="00CB1A9F"/>
    <w:rsid w:val="00CB25AA"/>
    <w:rsid w:val="00CB38D7"/>
    <w:rsid w:val="00CB737E"/>
    <w:rsid w:val="00CB75B3"/>
    <w:rsid w:val="00CB7FA8"/>
    <w:rsid w:val="00CC107C"/>
    <w:rsid w:val="00CC11E7"/>
    <w:rsid w:val="00CC4294"/>
    <w:rsid w:val="00CC48BE"/>
    <w:rsid w:val="00CC7CD8"/>
    <w:rsid w:val="00CD010D"/>
    <w:rsid w:val="00CD1102"/>
    <w:rsid w:val="00CD1ED4"/>
    <w:rsid w:val="00CD2FCD"/>
    <w:rsid w:val="00CD37F3"/>
    <w:rsid w:val="00CD573F"/>
    <w:rsid w:val="00CD7A35"/>
    <w:rsid w:val="00CD7C7A"/>
    <w:rsid w:val="00CD7F62"/>
    <w:rsid w:val="00CE348D"/>
    <w:rsid w:val="00CE5319"/>
    <w:rsid w:val="00CE5E10"/>
    <w:rsid w:val="00CE6710"/>
    <w:rsid w:val="00CE7D5B"/>
    <w:rsid w:val="00CF1431"/>
    <w:rsid w:val="00CF15D2"/>
    <w:rsid w:val="00CF167B"/>
    <w:rsid w:val="00CF3B3E"/>
    <w:rsid w:val="00CF576F"/>
    <w:rsid w:val="00CF58ED"/>
    <w:rsid w:val="00CF60EE"/>
    <w:rsid w:val="00CF742D"/>
    <w:rsid w:val="00CF787F"/>
    <w:rsid w:val="00CF7B76"/>
    <w:rsid w:val="00D00686"/>
    <w:rsid w:val="00D0079C"/>
    <w:rsid w:val="00D02038"/>
    <w:rsid w:val="00D03397"/>
    <w:rsid w:val="00D0404A"/>
    <w:rsid w:val="00D0463F"/>
    <w:rsid w:val="00D04ACD"/>
    <w:rsid w:val="00D0770C"/>
    <w:rsid w:val="00D1036A"/>
    <w:rsid w:val="00D125BC"/>
    <w:rsid w:val="00D12DFE"/>
    <w:rsid w:val="00D1366C"/>
    <w:rsid w:val="00D142EE"/>
    <w:rsid w:val="00D145D0"/>
    <w:rsid w:val="00D1631B"/>
    <w:rsid w:val="00D16B4B"/>
    <w:rsid w:val="00D17AAD"/>
    <w:rsid w:val="00D21B42"/>
    <w:rsid w:val="00D223C5"/>
    <w:rsid w:val="00D224BD"/>
    <w:rsid w:val="00D228A4"/>
    <w:rsid w:val="00D22DDF"/>
    <w:rsid w:val="00D2352F"/>
    <w:rsid w:val="00D238D7"/>
    <w:rsid w:val="00D2470E"/>
    <w:rsid w:val="00D2723C"/>
    <w:rsid w:val="00D27AB1"/>
    <w:rsid w:val="00D323B9"/>
    <w:rsid w:val="00D32C93"/>
    <w:rsid w:val="00D33695"/>
    <w:rsid w:val="00D34FFD"/>
    <w:rsid w:val="00D37315"/>
    <w:rsid w:val="00D4055C"/>
    <w:rsid w:val="00D4141A"/>
    <w:rsid w:val="00D43B12"/>
    <w:rsid w:val="00D446FD"/>
    <w:rsid w:val="00D464EF"/>
    <w:rsid w:val="00D46979"/>
    <w:rsid w:val="00D46D86"/>
    <w:rsid w:val="00D47D52"/>
    <w:rsid w:val="00D532A8"/>
    <w:rsid w:val="00D539DE"/>
    <w:rsid w:val="00D5479C"/>
    <w:rsid w:val="00D54DA2"/>
    <w:rsid w:val="00D55320"/>
    <w:rsid w:val="00D553CC"/>
    <w:rsid w:val="00D56FFD"/>
    <w:rsid w:val="00D6187D"/>
    <w:rsid w:val="00D61C33"/>
    <w:rsid w:val="00D61DAA"/>
    <w:rsid w:val="00D62C2C"/>
    <w:rsid w:val="00D63261"/>
    <w:rsid w:val="00D63BDF"/>
    <w:rsid w:val="00D64631"/>
    <w:rsid w:val="00D64851"/>
    <w:rsid w:val="00D657B8"/>
    <w:rsid w:val="00D65CA9"/>
    <w:rsid w:val="00D6626D"/>
    <w:rsid w:val="00D66C7B"/>
    <w:rsid w:val="00D67AFB"/>
    <w:rsid w:val="00D70F05"/>
    <w:rsid w:val="00D72C4B"/>
    <w:rsid w:val="00D73033"/>
    <w:rsid w:val="00D735C4"/>
    <w:rsid w:val="00D750DA"/>
    <w:rsid w:val="00D76DE1"/>
    <w:rsid w:val="00D77835"/>
    <w:rsid w:val="00D80B9B"/>
    <w:rsid w:val="00D82B75"/>
    <w:rsid w:val="00D83C07"/>
    <w:rsid w:val="00D9215B"/>
    <w:rsid w:val="00D94BB8"/>
    <w:rsid w:val="00D95AFC"/>
    <w:rsid w:val="00D964D0"/>
    <w:rsid w:val="00D97716"/>
    <w:rsid w:val="00D97732"/>
    <w:rsid w:val="00DA1D94"/>
    <w:rsid w:val="00DA3353"/>
    <w:rsid w:val="00DA3AF2"/>
    <w:rsid w:val="00DA4498"/>
    <w:rsid w:val="00DA6FE1"/>
    <w:rsid w:val="00DA7759"/>
    <w:rsid w:val="00DB395C"/>
    <w:rsid w:val="00DB425E"/>
    <w:rsid w:val="00DB5178"/>
    <w:rsid w:val="00DB54D0"/>
    <w:rsid w:val="00DB7C37"/>
    <w:rsid w:val="00DC1795"/>
    <w:rsid w:val="00DC2981"/>
    <w:rsid w:val="00DC3266"/>
    <w:rsid w:val="00DC5075"/>
    <w:rsid w:val="00DC6C8F"/>
    <w:rsid w:val="00DC70C0"/>
    <w:rsid w:val="00DD095A"/>
    <w:rsid w:val="00DD2863"/>
    <w:rsid w:val="00DD6075"/>
    <w:rsid w:val="00DD766C"/>
    <w:rsid w:val="00DD7929"/>
    <w:rsid w:val="00DE1725"/>
    <w:rsid w:val="00DE17FC"/>
    <w:rsid w:val="00DE1BF4"/>
    <w:rsid w:val="00DE2678"/>
    <w:rsid w:val="00DE47E2"/>
    <w:rsid w:val="00DE5114"/>
    <w:rsid w:val="00DE5588"/>
    <w:rsid w:val="00DE5F3A"/>
    <w:rsid w:val="00DE7B63"/>
    <w:rsid w:val="00DF0D6A"/>
    <w:rsid w:val="00DF181B"/>
    <w:rsid w:val="00DF47F1"/>
    <w:rsid w:val="00DF4FE7"/>
    <w:rsid w:val="00DF55A3"/>
    <w:rsid w:val="00DF5629"/>
    <w:rsid w:val="00DF5BBD"/>
    <w:rsid w:val="00DF6A60"/>
    <w:rsid w:val="00E01A30"/>
    <w:rsid w:val="00E0226C"/>
    <w:rsid w:val="00E07B03"/>
    <w:rsid w:val="00E10101"/>
    <w:rsid w:val="00E1024A"/>
    <w:rsid w:val="00E11296"/>
    <w:rsid w:val="00E127CE"/>
    <w:rsid w:val="00E12B6E"/>
    <w:rsid w:val="00E12CE1"/>
    <w:rsid w:val="00E143EA"/>
    <w:rsid w:val="00E14A00"/>
    <w:rsid w:val="00E15595"/>
    <w:rsid w:val="00E16B31"/>
    <w:rsid w:val="00E171AD"/>
    <w:rsid w:val="00E17D23"/>
    <w:rsid w:val="00E207EB"/>
    <w:rsid w:val="00E20DC3"/>
    <w:rsid w:val="00E214D6"/>
    <w:rsid w:val="00E22394"/>
    <w:rsid w:val="00E231F9"/>
    <w:rsid w:val="00E2393C"/>
    <w:rsid w:val="00E24A33"/>
    <w:rsid w:val="00E2502B"/>
    <w:rsid w:val="00E271B4"/>
    <w:rsid w:val="00E274AB"/>
    <w:rsid w:val="00E27C93"/>
    <w:rsid w:val="00E30624"/>
    <w:rsid w:val="00E309CB"/>
    <w:rsid w:val="00E33098"/>
    <w:rsid w:val="00E3332D"/>
    <w:rsid w:val="00E334DE"/>
    <w:rsid w:val="00E3390D"/>
    <w:rsid w:val="00E34ED3"/>
    <w:rsid w:val="00E35C95"/>
    <w:rsid w:val="00E37A50"/>
    <w:rsid w:val="00E37B2F"/>
    <w:rsid w:val="00E40EB9"/>
    <w:rsid w:val="00E410E5"/>
    <w:rsid w:val="00E429D6"/>
    <w:rsid w:val="00E43BD7"/>
    <w:rsid w:val="00E43DCA"/>
    <w:rsid w:val="00E45E48"/>
    <w:rsid w:val="00E474BB"/>
    <w:rsid w:val="00E47E39"/>
    <w:rsid w:val="00E50474"/>
    <w:rsid w:val="00E5105B"/>
    <w:rsid w:val="00E516E3"/>
    <w:rsid w:val="00E517C7"/>
    <w:rsid w:val="00E51E13"/>
    <w:rsid w:val="00E52B1E"/>
    <w:rsid w:val="00E52DD1"/>
    <w:rsid w:val="00E53537"/>
    <w:rsid w:val="00E544C3"/>
    <w:rsid w:val="00E55419"/>
    <w:rsid w:val="00E562BB"/>
    <w:rsid w:val="00E57E85"/>
    <w:rsid w:val="00E61515"/>
    <w:rsid w:val="00E63E56"/>
    <w:rsid w:val="00E64615"/>
    <w:rsid w:val="00E66B56"/>
    <w:rsid w:val="00E679A5"/>
    <w:rsid w:val="00E7234E"/>
    <w:rsid w:val="00E74110"/>
    <w:rsid w:val="00E74450"/>
    <w:rsid w:val="00E76457"/>
    <w:rsid w:val="00E767B3"/>
    <w:rsid w:val="00E80FD5"/>
    <w:rsid w:val="00E8136E"/>
    <w:rsid w:val="00E8182D"/>
    <w:rsid w:val="00E81FEF"/>
    <w:rsid w:val="00E851E8"/>
    <w:rsid w:val="00E853D2"/>
    <w:rsid w:val="00E85D4A"/>
    <w:rsid w:val="00E86E72"/>
    <w:rsid w:val="00E878C8"/>
    <w:rsid w:val="00E87E2A"/>
    <w:rsid w:val="00E90616"/>
    <w:rsid w:val="00E917C2"/>
    <w:rsid w:val="00E93E7C"/>
    <w:rsid w:val="00E944F5"/>
    <w:rsid w:val="00E94E13"/>
    <w:rsid w:val="00E95013"/>
    <w:rsid w:val="00E95C54"/>
    <w:rsid w:val="00E96843"/>
    <w:rsid w:val="00E97707"/>
    <w:rsid w:val="00EA13CD"/>
    <w:rsid w:val="00EA38AE"/>
    <w:rsid w:val="00EA6CBC"/>
    <w:rsid w:val="00EA7211"/>
    <w:rsid w:val="00EB275D"/>
    <w:rsid w:val="00EB3B5F"/>
    <w:rsid w:val="00EB42E7"/>
    <w:rsid w:val="00EB4D67"/>
    <w:rsid w:val="00EB76AD"/>
    <w:rsid w:val="00EC0DF0"/>
    <w:rsid w:val="00EC1071"/>
    <w:rsid w:val="00EC1123"/>
    <w:rsid w:val="00EC1554"/>
    <w:rsid w:val="00EC3121"/>
    <w:rsid w:val="00EC3763"/>
    <w:rsid w:val="00EC421D"/>
    <w:rsid w:val="00EC4EB8"/>
    <w:rsid w:val="00EC574D"/>
    <w:rsid w:val="00EC7D10"/>
    <w:rsid w:val="00ED06AF"/>
    <w:rsid w:val="00ED1106"/>
    <w:rsid w:val="00ED2157"/>
    <w:rsid w:val="00EE01B1"/>
    <w:rsid w:val="00EE0F4C"/>
    <w:rsid w:val="00EE0F60"/>
    <w:rsid w:val="00EE107F"/>
    <w:rsid w:val="00EE11AB"/>
    <w:rsid w:val="00EE1DB0"/>
    <w:rsid w:val="00EE25B0"/>
    <w:rsid w:val="00EE2B37"/>
    <w:rsid w:val="00EE31F1"/>
    <w:rsid w:val="00EE3BB5"/>
    <w:rsid w:val="00EE6A06"/>
    <w:rsid w:val="00EE713D"/>
    <w:rsid w:val="00EF13A1"/>
    <w:rsid w:val="00EF4082"/>
    <w:rsid w:val="00EF56A2"/>
    <w:rsid w:val="00EF5DCB"/>
    <w:rsid w:val="00EF72E5"/>
    <w:rsid w:val="00EF752F"/>
    <w:rsid w:val="00EF7EB0"/>
    <w:rsid w:val="00F002BD"/>
    <w:rsid w:val="00F02200"/>
    <w:rsid w:val="00F02DF6"/>
    <w:rsid w:val="00F03865"/>
    <w:rsid w:val="00F070D7"/>
    <w:rsid w:val="00F0772B"/>
    <w:rsid w:val="00F07EF9"/>
    <w:rsid w:val="00F11045"/>
    <w:rsid w:val="00F11B9C"/>
    <w:rsid w:val="00F12B94"/>
    <w:rsid w:val="00F12C37"/>
    <w:rsid w:val="00F14689"/>
    <w:rsid w:val="00F14905"/>
    <w:rsid w:val="00F17084"/>
    <w:rsid w:val="00F2012D"/>
    <w:rsid w:val="00F24943"/>
    <w:rsid w:val="00F24AAA"/>
    <w:rsid w:val="00F24C54"/>
    <w:rsid w:val="00F257FF"/>
    <w:rsid w:val="00F26303"/>
    <w:rsid w:val="00F2665A"/>
    <w:rsid w:val="00F3017F"/>
    <w:rsid w:val="00F302CD"/>
    <w:rsid w:val="00F30A36"/>
    <w:rsid w:val="00F30CEB"/>
    <w:rsid w:val="00F311E4"/>
    <w:rsid w:val="00F32097"/>
    <w:rsid w:val="00F3274E"/>
    <w:rsid w:val="00F33561"/>
    <w:rsid w:val="00F3422A"/>
    <w:rsid w:val="00F34468"/>
    <w:rsid w:val="00F357DC"/>
    <w:rsid w:val="00F379DD"/>
    <w:rsid w:val="00F411B3"/>
    <w:rsid w:val="00F4127D"/>
    <w:rsid w:val="00F41977"/>
    <w:rsid w:val="00F436E3"/>
    <w:rsid w:val="00F44428"/>
    <w:rsid w:val="00F453BB"/>
    <w:rsid w:val="00F46BB0"/>
    <w:rsid w:val="00F476CE"/>
    <w:rsid w:val="00F47B2A"/>
    <w:rsid w:val="00F5147A"/>
    <w:rsid w:val="00F51DD9"/>
    <w:rsid w:val="00F5239F"/>
    <w:rsid w:val="00F5268D"/>
    <w:rsid w:val="00F57B53"/>
    <w:rsid w:val="00F60CCD"/>
    <w:rsid w:val="00F61AB9"/>
    <w:rsid w:val="00F646D9"/>
    <w:rsid w:val="00F64A14"/>
    <w:rsid w:val="00F665B7"/>
    <w:rsid w:val="00F67005"/>
    <w:rsid w:val="00F70374"/>
    <w:rsid w:val="00F7085E"/>
    <w:rsid w:val="00F7244C"/>
    <w:rsid w:val="00F73A49"/>
    <w:rsid w:val="00F759A1"/>
    <w:rsid w:val="00F75ADB"/>
    <w:rsid w:val="00F764EE"/>
    <w:rsid w:val="00F76FC2"/>
    <w:rsid w:val="00F80A4A"/>
    <w:rsid w:val="00F80ED4"/>
    <w:rsid w:val="00F8287A"/>
    <w:rsid w:val="00F8339D"/>
    <w:rsid w:val="00F835E7"/>
    <w:rsid w:val="00F874F6"/>
    <w:rsid w:val="00F91877"/>
    <w:rsid w:val="00F91A0E"/>
    <w:rsid w:val="00F92AE6"/>
    <w:rsid w:val="00F93C49"/>
    <w:rsid w:val="00F94062"/>
    <w:rsid w:val="00F945D2"/>
    <w:rsid w:val="00F94CD5"/>
    <w:rsid w:val="00F96DD3"/>
    <w:rsid w:val="00F9711C"/>
    <w:rsid w:val="00FA0141"/>
    <w:rsid w:val="00FA25F6"/>
    <w:rsid w:val="00FA27DE"/>
    <w:rsid w:val="00FA367D"/>
    <w:rsid w:val="00FA37B1"/>
    <w:rsid w:val="00FA43BC"/>
    <w:rsid w:val="00FA47C2"/>
    <w:rsid w:val="00FA4C12"/>
    <w:rsid w:val="00FA6FF9"/>
    <w:rsid w:val="00FA7AAC"/>
    <w:rsid w:val="00FA7ECD"/>
    <w:rsid w:val="00FB28BE"/>
    <w:rsid w:val="00FB2CE7"/>
    <w:rsid w:val="00FB3057"/>
    <w:rsid w:val="00FB3EFB"/>
    <w:rsid w:val="00FB4FCF"/>
    <w:rsid w:val="00FB5EC4"/>
    <w:rsid w:val="00FB6349"/>
    <w:rsid w:val="00FB7234"/>
    <w:rsid w:val="00FC2116"/>
    <w:rsid w:val="00FC34CF"/>
    <w:rsid w:val="00FC3C71"/>
    <w:rsid w:val="00FC3EDB"/>
    <w:rsid w:val="00FC490E"/>
    <w:rsid w:val="00FC4A15"/>
    <w:rsid w:val="00FC68AF"/>
    <w:rsid w:val="00FC6F88"/>
    <w:rsid w:val="00FD0C3F"/>
    <w:rsid w:val="00FD0D11"/>
    <w:rsid w:val="00FD1C12"/>
    <w:rsid w:val="00FD1E6A"/>
    <w:rsid w:val="00FD3D05"/>
    <w:rsid w:val="00FD4FFC"/>
    <w:rsid w:val="00FD7489"/>
    <w:rsid w:val="00FD74CD"/>
    <w:rsid w:val="00FD7780"/>
    <w:rsid w:val="00FE11AB"/>
    <w:rsid w:val="00FE12B3"/>
    <w:rsid w:val="00FE1E1C"/>
    <w:rsid w:val="00FE2628"/>
    <w:rsid w:val="00FE2C54"/>
    <w:rsid w:val="00FE37CF"/>
    <w:rsid w:val="00FE3BF8"/>
    <w:rsid w:val="00FE4EDC"/>
    <w:rsid w:val="00FE5C5C"/>
    <w:rsid w:val="00FE5C75"/>
    <w:rsid w:val="00FE5F17"/>
    <w:rsid w:val="00FF1D1C"/>
    <w:rsid w:val="00FF1E27"/>
    <w:rsid w:val="00FF29CC"/>
    <w:rsid w:val="00FF45B5"/>
    <w:rsid w:val="00FF5167"/>
    <w:rsid w:val="00FF6D27"/>
    <w:rsid w:val="00FF7034"/>
    <w:rsid w:val="023E098D"/>
    <w:rsid w:val="0860CC3E"/>
    <w:rsid w:val="0E0EDA84"/>
    <w:rsid w:val="10140B61"/>
    <w:rsid w:val="1109B738"/>
    <w:rsid w:val="1158E31D"/>
    <w:rsid w:val="165643BC"/>
    <w:rsid w:val="168D234F"/>
    <w:rsid w:val="181AFE13"/>
    <w:rsid w:val="1A13E1F4"/>
    <w:rsid w:val="1D7500CD"/>
    <w:rsid w:val="210A8FA2"/>
    <w:rsid w:val="23D794B9"/>
    <w:rsid w:val="249E5960"/>
    <w:rsid w:val="252AB5DA"/>
    <w:rsid w:val="25C3DAB1"/>
    <w:rsid w:val="27B3493F"/>
    <w:rsid w:val="2907D1C2"/>
    <w:rsid w:val="2ABFE37A"/>
    <w:rsid w:val="2C847B25"/>
    <w:rsid w:val="2D93121D"/>
    <w:rsid w:val="32EEF86C"/>
    <w:rsid w:val="341C51DB"/>
    <w:rsid w:val="390EA1A5"/>
    <w:rsid w:val="3B34CD6A"/>
    <w:rsid w:val="3BAC6CB1"/>
    <w:rsid w:val="40B4BC3A"/>
    <w:rsid w:val="46BA0856"/>
    <w:rsid w:val="47FD0A85"/>
    <w:rsid w:val="49C68324"/>
    <w:rsid w:val="4BBC649B"/>
    <w:rsid w:val="4E41A5A4"/>
    <w:rsid w:val="4EB47872"/>
    <w:rsid w:val="4F6925ED"/>
    <w:rsid w:val="55AD6F57"/>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607364"/>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B2F28C3D-B9A7-441F-AED4-CA1A2105E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41301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E52D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2C6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C624ED"/>
    <w:pPr>
      <w:ind w:left="720"/>
      <w:contextualSpacing/>
    </w:pPr>
  </w:style>
  <w:style w:type="character" w:styleId="CommentReference">
    <w:name w:val="annotation reference"/>
    <w:basedOn w:val="DefaultParagraphFont"/>
    <w:semiHidden/>
    <w:unhideWhenUsed/>
    <w:rsid w:val="00256C02"/>
    <w:rPr>
      <w:sz w:val="16"/>
      <w:szCs w:val="16"/>
    </w:rPr>
  </w:style>
  <w:style w:type="paragraph" w:styleId="CommentText">
    <w:name w:val="annotation text"/>
    <w:basedOn w:val="Normal"/>
    <w:link w:val="CommentTextChar"/>
    <w:unhideWhenUsed/>
    <w:rsid w:val="00256C02"/>
  </w:style>
  <w:style w:type="character" w:customStyle="1" w:styleId="CommentTextChar">
    <w:name w:val="Comment Text Char"/>
    <w:basedOn w:val="DefaultParagraphFont"/>
    <w:link w:val="CommentText"/>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qFormat/>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uiPriority w:val="39"/>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paragraph" w:styleId="BodyText">
    <w:name w:val="Body Text"/>
    <w:basedOn w:val="Normal"/>
    <w:link w:val="BodyTextChar"/>
    <w:rsid w:val="00C9413B"/>
    <w:rPr>
      <w:rFonts w:eastAsia="SimSun"/>
    </w:rPr>
  </w:style>
  <w:style w:type="character" w:customStyle="1" w:styleId="BodyTextChar">
    <w:name w:val="Body Text Char"/>
    <w:basedOn w:val="DefaultParagraphFont"/>
    <w:link w:val="BodyText"/>
    <w:rsid w:val="00C9413B"/>
    <w:rPr>
      <w:rFonts w:ascii="Times New Roman" w:eastAsia="SimSun" w:hAnsi="Times New Roman" w:cs="Times New Roman"/>
      <w:sz w:val="20"/>
      <w:szCs w:val="20"/>
      <w:lang w:val="en-GB" w:eastAsia="en-US"/>
    </w:rPr>
  </w:style>
  <w:style w:type="paragraph" w:customStyle="1" w:styleId="B2">
    <w:name w:val="B2"/>
    <w:basedOn w:val="List2"/>
    <w:link w:val="B2Char"/>
    <w:qFormat/>
    <w:rsid w:val="002F6D51"/>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2F6D51"/>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2F6D51"/>
    <w:pPr>
      <w:ind w:left="720" w:hanging="360"/>
      <w:contextualSpacing/>
    </w:pPr>
  </w:style>
  <w:style w:type="paragraph" w:customStyle="1" w:styleId="EQ">
    <w:name w:val="EQ"/>
    <w:basedOn w:val="Normal"/>
    <w:next w:val="Normal"/>
    <w:rsid w:val="00E86E72"/>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paragraph" w:customStyle="1" w:styleId="PL">
    <w:name w:val="PL"/>
    <w:link w:val="PLChar"/>
    <w:qFormat/>
    <w:rsid w:val="00E86E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86E72"/>
    <w:rPr>
      <w:rFonts w:ascii="Courier New" w:eastAsia="Times New Roman" w:hAnsi="Courier New" w:cs="Times New Roman"/>
      <w:noProof/>
      <w:sz w:val="16"/>
      <w:szCs w:val="20"/>
      <w:shd w:val="clear" w:color="auto" w:fill="E6E6E6"/>
      <w:lang w:val="en-GB" w:eastAsia="en-GB"/>
    </w:rPr>
  </w:style>
  <w:style w:type="character" w:customStyle="1" w:styleId="Heading2Char">
    <w:name w:val="Heading 2 Char"/>
    <w:basedOn w:val="DefaultParagraphFont"/>
    <w:link w:val="Heading2"/>
    <w:uiPriority w:val="9"/>
    <w:rsid w:val="0041301A"/>
    <w:rPr>
      <w:rFonts w:asciiTheme="majorHAnsi" w:eastAsiaTheme="majorEastAsia" w:hAnsiTheme="majorHAnsi" w:cstheme="majorBidi"/>
      <w:color w:val="2E74B5" w:themeColor="accent1" w:themeShade="BF"/>
      <w:sz w:val="26"/>
      <w:szCs w:val="26"/>
      <w:lang w:val="en-GB" w:eastAsia="en-US"/>
    </w:rPr>
  </w:style>
  <w:style w:type="character" w:styleId="Hyperlink">
    <w:name w:val="Hyperlink"/>
    <w:uiPriority w:val="99"/>
    <w:qFormat/>
    <w:rsid w:val="00344C56"/>
    <w:rPr>
      <w:color w:val="0000FF"/>
      <w:u w:val="single"/>
    </w:rPr>
  </w:style>
  <w:style w:type="character" w:customStyle="1" w:styleId="B1Char1">
    <w:name w:val="B1 Char1"/>
    <w:qFormat/>
    <w:rsid w:val="00344C56"/>
    <w:rPr>
      <w:rFonts w:ascii="Arial" w:eastAsia="Times New Roman" w:hAnsi="Arial"/>
      <w:lang w:eastAsia="en-US"/>
    </w:rPr>
  </w:style>
  <w:style w:type="paragraph" w:customStyle="1" w:styleId="Agreement">
    <w:name w:val="Agreement"/>
    <w:basedOn w:val="Normal"/>
    <w:next w:val="Doc-text2"/>
    <w:uiPriority w:val="99"/>
    <w:qFormat/>
    <w:rsid w:val="00B727E8"/>
    <w:pPr>
      <w:numPr>
        <w:numId w:val="2"/>
      </w:numPr>
      <w:spacing w:before="60" w:after="0"/>
    </w:pPr>
    <w:rPr>
      <w:rFonts w:ascii="Arial" w:eastAsia="MS Mincho" w:hAnsi="Arial"/>
      <w:b/>
      <w:szCs w:val="24"/>
      <w:lang w:eastAsia="en-GB"/>
    </w:rPr>
  </w:style>
  <w:style w:type="character" w:styleId="UnresolvedMention">
    <w:name w:val="Unresolved Mention"/>
    <w:basedOn w:val="DefaultParagraphFont"/>
    <w:uiPriority w:val="99"/>
    <w:unhideWhenUsed/>
    <w:rsid w:val="00BC4B6D"/>
    <w:rPr>
      <w:color w:val="605E5C"/>
      <w:shd w:val="clear" w:color="auto" w:fill="E1DFDD"/>
    </w:rPr>
  </w:style>
  <w:style w:type="character" w:styleId="Mention">
    <w:name w:val="Mention"/>
    <w:basedOn w:val="DefaultParagraphFont"/>
    <w:uiPriority w:val="99"/>
    <w:unhideWhenUsed/>
    <w:rsid w:val="00BC4B6D"/>
    <w:rPr>
      <w:color w:val="2B579A"/>
      <w:shd w:val="clear" w:color="auto" w:fill="E1DFDD"/>
    </w:rPr>
  </w:style>
  <w:style w:type="character" w:customStyle="1" w:styleId="apple-converted-space">
    <w:name w:val="apple-converted-space"/>
    <w:basedOn w:val="DefaultParagraphFont"/>
    <w:qFormat/>
    <w:rsid w:val="00002C0F"/>
  </w:style>
  <w:style w:type="table" w:styleId="GridTable1Light-Accent5">
    <w:name w:val="Grid Table 1 Light Accent 5"/>
    <w:basedOn w:val="TableNormal"/>
    <w:uiPriority w:val="46"/>
    <w:rsid w:val="00064483"/>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TAH">
    <w:name w:val="TAH"/>
    <w:basedOn w:val="Normal"/>
    <w:link w:val="TAHCar"/>
    <w:qFormat/>
    <w:rsid w:val="00064483"/>
    <w:pPr>
      <w:keepNext/>
      <w:keepLines/>
      <w:overflowPunct w:val="0"/>
      <w:autoSpaceDE w:val="0"/>
      <w:autoSpaceDN w:val="0"/>
      <w:adjustRightInd w:val="0"/>
      <w:spacing w:after="0"/>
      <w:jc w:val="center"/>
      <w:textAlignment w:val="baseline"/>
    </w:pPr>
    <w:rPr>
      <w:rFonts w:ascii="Arial" w:eastAsia="SimSun" w:hAnsi="Arial"/>
      <w:b/>
      <w:sz w:val="18"/>
      <w:lang w:eastAsia="zh-CN"/>
    </w:rPr>
  </w:style>
  <w:style w:type="paragraph" w:customStyle="1" w:styleId="TAN">
    <w:name w:val="TAN"/>
    <w:basedOn w:val="TAL"/>
    <w:link w:val="TANChar"/>
    <w:qFormat/>
    <w:rsid w:val="00064483"/>
    <w:pPr>
      <w:ind w:left="851" w:hanging="851"/>
    </w:pPr>
    <w:rPr>
      <w:rFonts w:eastAsia="SimSun"/>
      <w:lang w:eastAsia="zh-CN"/>
    </w:rPr>
  </w:style>
  <w:style w:type="character" w:customStyle="1" w:styleId="TAHCar">
    <w:name w:val="TAH Car"/>
    <w:link w:val="TAH"/>
    <w:qFormat/>
    <w:rsid w:val="00064483"/>
    <w:rPr>
      <w:rFonts w:ascii="Arial" w:eastAsia="SimSun" w:hAnsi="Arial" w:cs="Times New Roman"/>
      <w:b/>
      <w:sz w:val="18"/>
      <w:szCs w:val="20"/>
      <w:lang w:val="en-GB" w:eastAsia="zh-CN"/>
    </w:rPr>
  </w:style>
  <w:style w:type="character" w:customStyle="1" w:styleId="TANChar">
    <w:name w:val="TAN Char"/>
    <w:link w:val="TAN"/>
    <w:qFormat/>
    <w:rsid w:val="00064483"/>
    <w:rPr>
      <w:rFonts w:ascii="Arial" w:eastAsia="SimSun" w:hAnsi="Arial" w:cs="Times New Roman"/>
      <w:sz w:val="18"/>
      <w:szCs w:val="20"/>
      <w:lang w:val="en-GB" w:eastAsia="zh-CN"/>
    </w:rPr>
  </w:style>
  <w:style w:type="character" w:customStyle="1" w:styleId="Heading3Char">
    <w:name w:val="Heading 3 Char"/>
    <w:basedOn w:val="DefaultParagraphFont"/>
    <w:link w:val="Heading3"/>
    <w:uiPriority w:val="9"/>
    <w:rsid w:val="00E52DD1"/>
    <w:rPr>
      <w:rFonts w:asciiTheme="majorHAnsi" w:eastAsiaTheme="majorEastAsia" w:hAnsiTheme="majorHAnsi" w:cstheme="majorBidi"/>
      <w:color w:val="1F4D78" w:themeColor="accent1" w:themeShade="7F"/>
      <w:sz w:val="24"/>
      <w:szCs w:val="24"/>
      <w:lang w:val="en-GB" w:eastAsia="en-US"/>
    </w:rPr>
  </w:style>
  <w:style w:type="paragraph" w:customStyle="1" w:styleId="TAC">
    <w:name w:val="TAC"/>
    <w:basedOn w:val="TAL"/>
    <w:link w:val="TACChar"/>
    <w:rsid w:val="00A52AD9"/>
    <w:pPr>
      <w:jc w:val="center"/>
    </w:pPr>
    <w:rPr>
      <w:lang w:eastAsia="en-GB"/>
    </w:rPr>
  </w:style>
  <w:style w:type="character" w:customStyle="1" w:styleId="TACChar">
    <w:name w:val="TAC Char"/>
    <w:link w:val="TAC"/>
    <w:qFormat/>
    <w:rsid w:val="00A52AD9"/>
    <w:rPr>
      <w:rFonts w:ascii="Arial" w:eastAsia="Times New Roman" w:hAnsi="Arial" w:cs="Times New Roman"/>
      <w:sz w:val="18"/>
      <w:szCs w:val="20"/>
      <w:lang w:val="en-GB" w:eastAsia="en-GB"/>
    </w:rPr>
  </w:style>
  <w:style w:type="character" w:customStyle="1" w:styleId="Heading4Char">
    <w:name w:val="Heading 4 Char"/>
    <w:basedOn w:val="DefaultParagraphFont"/>
    <w:link w:val="Heading4"/>
    <w:uiPriority w:val="9"/>
    <w:semiHidden/>
    <w:rsid w:val="00082C66"/>
    <w:rPr>
      <w:rFonts w:asciiTheme="majorHAnsi" w:eastAsiaTheme="majorEastAsia" w:hAnsiTheme="majorHAnsi" w:cstheme="majorBidi"/>
      <w:i/>
      <w:iCs/>
      <w:color w:val="2E74B5" w:themeColor="accent1" w:themeShade="BF"/>
      <w:sz w:val="20"/>
      <w:szCs w:val="20"/>
      <w:lang w:val="en-GB" w:eastAsia="en-US"/>
    </w:rPr>
  </w:style>
  <w:style w:type="table" w:styleId="GridTable5Dark-Accent5">
    <w:name w:val="Grid Table 5 Dark Accent 5"/>
    <w:basedOn w:val="TableNormal"/>
    <w:uiPriority w:val="50"/>
    <w:rsid w:val="003B71E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O">
    <w:name w:val="NO"/>
    <w:basedOn w:val="Normal"/>
    <w:link w:val="NOChar"/>
    <w:rsid w:val="001B77E8"/>
    <w:pPr>
      <w:keepLines/>
      <w:overflowPunct w:val="0"/>
      <w:autoSpaceDE w:val="0"/>
      <w:autoSpaceDN w:val="0"/>
      <w:adjustRightInd w:val="0"/>
      <w:ind w:left="1135" w:hanging="851"/>
      <w:textAlignment w:val="baseline"/>
    </w:pPr>
    <w:rPr>
      <w:rFonts w:eastAsia="Times New Roman"/>
      <w:lang w:eastAsia="ja-JP"/>
    </w:rPr>
  </w:style>
  <w:style w:type="character" w:customStyle="1" w:styleId="NOChar">
    <w:name w:val="NO Char"/>
    <w:link w:val="NO"/>
    <w:qFormat/>
    <w:rsid w:val="001B77E8"/>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8059">
      <w:bodyDiv w:val="1"/>
      <w:marLeft w:val="0"/>
      <w:marRight w:val="0"/>
      <w:marTop w:val="0"/>
      <w:marBottom w:val="0"/>
      <w:divBdr>
        <w:top w:val="none" w:sz="0" w:space="0" w:color="auto"/>
        <w:left w:val="none" w:sz="0" w:space="0" w:color="auto"/>
        <w:bottom w:val="none" w:sz="0" w:space="0" w:color="auto"/>
        <w:right w:val="none" w:sz="0" w:space="0" w:color="auto"/>
      </w:divBdr>
    </w:div>
    <w:div w:id="257639988">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39558250">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1217822">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349598414">
      <w:bodyDiv w:val="1"/>
      <w:marLeft w:val="0"/>
      <w:marRight w:val="0"/>
      <w:marTop w:val="0"/>
      <w:marBottom w:val="0"/>
      <w:divBdr>
        <w:top w:val="none" w:sz="0" w:space="0" w:color="auto"/>
        <w:left w:val="none" w:sz="0" w:space="0" w:color="auto"/>
        <w:bottom w:val="none" w:sz="0" w:space="0" w:color="auto"/>
        <w:right w:val="none" w:sz="0" w:space="0" w:color="auto"/>
      </w:divBdr>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803309912">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207219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CDCDC06D-8181-4B1A-ADFA-AA17BA4961F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31C4F2D4-9516-4802-86D7-27646BF7CA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C3674E-4258-4D5E-B0B2-AA0470103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1933</TotalTime>
  <Pages>6</Pages>
  <Words>2255</Words>
  <Characters>12855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Xun update v3</cp:lastModifiedBy>
  <cp:revision>122</cp:revision>
  <dcterms:created xsi:type="dcterms:W3CDTF">2023-03-21T06:14:00Z</dcterms:created>
  <dcterms:modified xsi:type="dcterms:W3CDTF">2023-04-07T02:41:00Z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ediaServiceImageTags">
    <vt:lpwstr/>
  </property>
</Properties>
</file>